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24.jpeg" ContentType="image/jpe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footnotes.xml" ContentType="application/vnd.openxmlformats-officedocument.wordprocessingml.footnotes+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before="0" w:after="0"/>
        <w:jc w:val="center"/>
        <w:rPr>
          <w:rFonts w:ascii="Times New Roman" w:hAnsi="Times New Roman" w:cs="Times New Roman"/>
        </w:rPr>
      </w:pPr>
      <w:r>
        <w:rPr/>
        <w:drawing>
          <wp:inline distT="0" distB="0" distL="0" distR="0">
            <wp:extent cx="2560320" cy="2707640"/>
            <wp:effectExtent l="0" t="0" r="0" b="0"/>
            <wp:docPr id="1" name="Obraz 24" descr="Urząd Gminy w Choceniu - aktualności i wydarz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24" descr="Urząd Gminy w Choceniu - aktualności i wydarzenia"/>
                    <pic:cNvPicPr>
                      <a:picLocks noChangeAspect="1" noChangeArrowheads="1"/>
                    </pic:cNvPicPr>
                  </pic:nvPicPr>
                  <pic:blipFill>
                    <a:blip r:embed="rId2"/>
                    <a:stretch>
                      <a:fillRect/>
                    </a:stretch>
                  </pic:blipFill>
                  <pic:spPr bwMode="auto">
                    <a:xfrm>
                      <a:off x="0" y="0"/>
                      <a:ext cx="2560320" cy="2707640"/>
                    </a:xfrm>
                    <a:prstGeom prst="rect">
                      <a:avLst/>
                    </a:prstGeom>
                  </pic:spPr>
                </pic:pic>
              </a:graphicData>
            </a:graphic>
          </wp:inline>
        </w:drawing>
      </w:r>
    </w:p>
    <w:p>
      <w:pPr>
        <w:pStyle w:val="Normal"/>
        <w:spacing w:lineRule="auto" w:line="360" w:before="0" w:after="0"/>
        <w:jc w:val="center"/>
        <w:rPr>
          <w:rFonts w:ascii="Times New Roman" w:hAnsi="Times New Roman" w:eastAsia="Calibri" w:cs="Times New Roman"/>
          <w:b/>
          <w:b/>
          <w:bCs/>
          <w:i/>
          <w:i/>
          <w:iCs/>
          <w:sz w:val="32"/>
          <w:szCs w:val="32"/>
        </w:rPr>
      </w:pPr>
      <w:r>
        <w:rPr>
          <w:rFonts w:eastAsia="Calibri" w:cs="Times New Roman" w:ascii="Times New Roman" w:hAnsi="Times New Roman"/>
          <w:b/>
          <w:bCs/>
          <w:i/>
          <w:iCs/>
          <w:sz w:val="32"/>
          <w:szCs w:val="32"/>
        </w:rPr>
        <w:t>Lokalny Program Rozwoju Gospodarczego</w:t>
      </w:r>
    </w:p>
    <w:p>
      <w:pPr>
        <w:pStyle w:val="Normal"/>
        <w:spacing w:lineRule="auto" w:line="360" w:before="0" w:after="0"/>
        <w:jc w:val="center"/>
        <w:rPr>
          <w:rFonts w:ascii="Times New Roman" w:hAnsi="Times New Roman" w:eastAsia="Calibri" w:cs="Times New Roman"/>
          <w:b/>
          <w:b/>
          <w:bCs/>
          <w:i/>
          <w:i/>
          <w:iCs/>
          <w:sz w:val="32"/>
          <w:szCs w:val="32"/>
        </w:rPr>
      </w:pPr>
      <w:r>
        <w:rPr>
          <w:rFonts w:eastAsia="Calibri" w:cs="Times New Roman" w:ascii="Times New Roman" w:hAnsi="Times New Roman"/>
          <w:b/>
          <w:bCs/>
          <w:i/>
          <w:iCs/>
          <w:sz w:val="32"/>
          <w:szCs w:val="32"/>
        </w:rPr>
        <w:t>dla Gminy Choceń</w:t>
      </w:r>
    </w:p>
    <w:p>
      <w:pPr>
        <w:pStyle w:val="Normal"/>
        <w:spacing w:lineRule="auto" w:line="360" w:before="0" w:after="0"/>
        <w:rPr>
          <w:rFonts w:ascii="Times New Roman" w:hAnsi="Times New Roman" w:eastAsia="Calibri" w:cs="Times New Roman"/>
        </w:rPr>
      </w:pPr>
      <w:r>
        <w:rPr>
          <w:rFonts w:eastAsia="Calibri" w:cs="Times New Roman" w:ascii="Times New Roman" w:hAnsi="Times New Roman"/>
        </w:rPr>
      </w:r>
    </w:p>
    <w:p>
      <w:pPr>
        <w:pStyle w:val="Normal"/>
        <w:spacing w:lineRule="auto" w:line="360" w:before="0" w:after="0"/>
        <w:jc w:val="center"/>
        <w:rPr>
          <w:rFonts w:ascii="Times New Roman" w:hAnsi="Times New Roman" w:eastAsia="Calibri" w:cs="Times New Roman"/>
          <w:b/>
          <w:b/>
          <w:bCs/>
          <w:i/>
          <w:i/>
          <w:iCs/>
        </w:rPr>
      </w:pPr>
      <w:r>
        <w:rPr>
          <w:rFonts w:eastAsia="Calibri" w:cs="Times New Roman" w:ascii="Times New Roman" w:hAnsi="Times New Roman"/>
          <w:b/>
          <w:bCs/>
          <w:i/>
          <w:iCs/>
        </w:rPr>
      </w:r>
    </w:p>
    <w:p>
      <w:pPr>
        <w:pStyle w:val="Normal"/>
        <w:spacing w:lineRule="auto" w:line="360" w:before="0" w:after="0"/>
        <w:jc w:val="center"/>
        <w:rPr>
          <w:rFonts w:ascii="Times New Roman" w:hAnsi="Times New Roman" w:eastAsia="Calibri" w:cs="Times New Roman"/>
          <w:lang w:val="de-DE"/>
        </w:rPr>
      </w:pPr>
      <w:r>
        <w:rPr>
          <w:rFonts w:eastAsia="Calibri" w:cs="Times New Roman" w:ascii="Times New Roman" w:hAnsi="Times New Roman"/>
          <w:lang w:val="de-DE"/>
        </w:rPr>
      </w:r>
    </w:p>
    <w:p>
      <w:pPr>
        <w:pStyle w:val="Normal"/>
        <w:spacing w:lineRule="auto" w:line="360" w:before="0" w:after="0"/>
        <w:rPr>
          <w:rFonts w:ascii="Times New Roman" w:hAnsi="Times New Roman" w:cs="Times New Roman"/>
        </w:rPr>
      </w:pPr>
      <w:r>
        <w:rPr>
          <w:rFonts w:cs="Times New Roman" w:ascii="Times New Roman" w:hAnsi="Times New Roman"/>
        </w:rPr>
      </w:r>
    </w:p>
    <w:p>
      <w:pPr>
        <w:pStyle w:val="Normal"/>
        <w:spacing w:lineRule="auto" w:line="360" w:before="0" w:after="0"/>
        <w:rPr>
          <w:rFonts w:ascii="Times New Roman" w:hAnsi="Times New Roman" w:cs="Times New Roman"/>
        </w:rPr>
      </w:pPr>
      <w:r>
        <w:rPr>
          <w:rFonts w:cs="Times New Roman" w:ascii="Times New Roman" w:hAnsi="Times New Roman"/>
        </w:rPr>
      </w:r>
    </w:p>
    <w:p>
      <w:pPr>
        <w:pStyle w:val="Normal"/>
        <w:spacing w:lineRule="auto" w:line="360" w:before="0" w:after="0"/>
        <w:rPr>
          <w:rFonts w:ascii="Times New Roman" w:hAnsi="Times New Roman" w:cs="Times New Roman"/>
        </w:rPr>
      </w:pPr>
      <w:r>
        <w:rPr>
          <w:rFonts w:cs="Times New Roman" w:ascii="Times New Roman" w:hAnsi="Times New Roman"/>
        </w:rPr>
      </w:r>
    </w:p>
    <w:p>
      <w:pPr>
        <w:pStyle w:val="Normal"/>
        <w:spacing w:lineRule="auto" w:line="360" w:before="0" w:after="0"/>
        <w:rPr>
          <w:rFonts w:ascii="Times New Roman" w:hAnsi="Times New Roman" w:cs="Times New Roman"/>
        </w:rPr>
      </w:pPr>
      <w:r>
        <w:rPr>
          <w:rFonts w:cs="Times New Roman" w:ascii="Times New Roman" w:hAnsi="Times New Roman"/>
        </w:rPr>
      </w:r>
    </w:p>
    <w:p>
      <w:pPr>
        <w:pStyle w:val="Normal"/>
        <w:spacing w:lineRule="auto" w:line="360" w:before="0" w:after="0"/>
        <w:rPr>
          <w:rFonts w:ascii="Times New Roman" w:hAnsi="Times New Roman" w:cs="Times New Roman"/>
        </w:rPr>
      </w:pPr>
      <w:r>
        <w:rPr>
          <w:rFonts w:cs="Times New Roman" w:ascii="Times New Roman" w:hAnsi="Times New Roman"/>
        </w:rPr>
      </w:r>
    </w:p>
    <w:p>
      <w:pPr>
        <w:pStyle w:val="Normal"/>
        <w:spacing w:lineRule="auto" w:line="360" w:before="0" w:after="0"/>
        <w:rPr>
          <w:rFonts w:ascii="Times New Roman" w:hAnsi="Times New Roman" w:cs="Times New Roman"/>
        </w:rPr>
      </w:pPr>
      <w:r>
        <w:rPr>
          <w:rFonts w:cs="Times New Roman" w:ascii="Times New Roman" w:hAnsi="Times New Roman"/>
        </w:rPr>
      </w:r>
    </w:p>
    <w:p>
      <w:pPr>
        <w:pStyle w:val="Normal"/>
        <w:spacing w:lineRule="auto" w:line="360" w:before="0" w:after="0"/>
        <w:rPr>
          <w:rFonts w:ascii="Times New Roman" w:hAnsi="Times New Roman" w:cs="Times New Roman"/>
        </w:rPr>
      </w:pPr>
      <w:r>
        <w:rPr>
          <w:rFonts w:cs="Times New Roman" w:ascii="Times New Roman" w:hAnsi="Times New Roman"/>
        </w:rPr>
      </w:r>
    </w:p>
    <w:p>
      <w:pPr>
        <w:pStyle w:val="Normal"/>
        <w:spacing w:lineRule="auto" w:line="360" w:before="0" w:after="0"/>
        <w:rPr>
          <w:rFonts w:ascii="Times New Roman" w:hAnsi="Times New Roman" w:cs="Times New Roman"/>
        </w:rPr>
      </w:pPr>
      <w:r>
        <w:rPr>
          <w:rFonts w:cs="Times New Roman" w:ascii="Times New Roman" w:hAnsi="Times New Roman"/>
        </w:rPr>
      </w:r>
    </w:p>
    <w:p>
      <w:pPr>
        <w:pStyle w:val="Normal"/>
        <w:spacing w:lineRule="auto" w:line="360" w:before="0" w:after="0"/>
        <w:rPr>
          <w:rFonts w:ascii="Times New Roman" w:hAnsi="Times New Roman" w:cs="Times New Roman"/>
        </w:rPr>
      </w:pPr>
      <w:r>
        <w:rPr>
          <w:rFonts w:cs="Times New Roman" w:ascii="Times New Roman" w:hAnsi="Times New Roman"/>
        </w:rPr>
      </w:r>
    </w:p>
    <w:p>
      <w:pPr>
        <w:pStyle w:val="Normal"/>
        <w:spacing w:lineRule="auto" w:line="360" w:before="0" w:after="0"/>
        <w:rPr>
          <w:rFonts w:ascii="Times New Roman" w:hAnsi="Times New Roman" w:cs="Times New Roman"/>
        </w:rPr>
      </w:pPr>
      <w:r>
        <w:rPr>
          <w:rFonts w:cs="Times New Roman" w:ascii="Times New Roman" w:hAnsi="Times New Roman"/>
        </w:rPr>
      </w:r>
    </w:p>
    <w:p>
      <w:pPr>
        <w:pStyle w:val="Normal"/>
        <w:spacing w:lineRule="auto" w:line="360" w:before="0" w:after="0"/>
        <w:rPr>
          <w:rFonts w:ascii="Times New Roman" w:hAnsi="Times New Roman" w:cs="Times New Roman"/>
        </w:rPr>
      </w:pPr>
      <w:r>
        <w:rPr>
          <w:rFonts w:cs="Times New Roman" w:ascii="Times New Roman" w:hAnsi="Times New Roman"/>
        </w:rPr>
      </w:r>
    </w:p>
    <w:p>
      <w:pPr>
        <w:pStyle w:val="Normal"/>
        <w:spacing w:lineRule="auto" w:line="360" w:before="0" w:after="0"/>
        <w:rPr>
          <w:rFonts w:ascii="Times New Roman" w:hAnsi="Times New Roman" w:cs="Times New Roman"/>
        </w:rPr>
      </w:pPr>
      <w:r>
        <w:rPr>
          <w:rFonts w:cs="Times New Roman" w:ascii="Times New Roman" w:hAnsi="Times New Roman"/>
        </w:rPr>
      </w:r>
    </w:p>
    <w:p>
      <w:pPr>
        <w:pStyle w:val="Normal"/>
        <w:spacing w:lineRule="auto" w:line="360" w:before="0" w:after="0"/>
        <w:rPr>
          <w:rFonts w:ascii="Times New Roman" w:hAnsi="Times New Roman" w:cs="Times New Roman"/>
        </w:rPr>
      </w:pPr>
      <w:r>
        <w:rPr>
          <w:rFonts w:cs="Times New Roman" w:ascii="Times New Roman" w:hAnsi="Times New Roman"/>
        </w:rPr>
      </w:r>
    </w:p>
    <w:p>
      <w:pPr>
        <w:pStyle w:val="Normal"/>
        <w:spacing w:lineRule="auto" w:line="360" w:before="0" w:after="0"/>
        <w:jc w:val="both"/>
        <w:rPr>
          <w:rFonts w:ascii="Times New Roman" w:hAnsi="Times New Roman" w:cs="Times New Roman"/>
          <w:b/>
          <w:b/>
          <w:u w:val="single"/>
        </w:rPr>
      </w:pPr>
      <w:r>
        <w:rPr>
          <w:rFonts w:cs="Times New Roman" w:ascii="Times New Roman" w:hAnsi="Times New Roman"/>
          <w:b/>
          <w:u w:val="single"/>
        </w:rPr>
      </w:r>
    </w:p>
    <w:p>
      <w:pPr>
        <w:pStyle w:val="Normal"/>
        <w:spacing w:lineRule="auto" w:line="360" w:before="0" w:after="0"/>
        <w:jc w:val="both"/>
        <w:rPr>
          <w:rFonts w:ascii="Times New Roman" w:hAnsi="Times New Roman" w:cs="Times New Roman"/>
          <w:b/>
          <w:b/>
          <w:u w:val="single"/>
        </w:rPr>
      </w:pPr>
      <w:r>
        <w:rPr>
          <w:rFonts w:cs="Times New Roman" w:ascii="Times New Roman" w:hAnsi="Times New Roman"/>
          <w:b/>
          <w:u w:val="single"/>
        </w:rPr>
      </w:r>
    </w:p>
    <w:p>
      <w:pPr>
        <w:pStyle w:val="Normal"/>
        <w:spacing w:lineRule="auto" w:line="360" w:before="0" w:after="0"/>
        <w:jc w:val="center"/>
        <w:rPr>
          <w:rFonts w:ascii="Times New Roman" w:hAnsi="Times New Roman" w:cs="Times New Roman"/>
          <w:b/>
          <w:b/>
          <w:u w:val="single"/>
        </w:rPr>
      </w:pPr>
      <w:r>
        <w:rPr/>
        <w:drawing>
          <wp:inline distT="0" distB="0" distL="0" distR="0">
            <wp:extent cx="3115310" cy="674370"/>
            <wp:effectExtent l="0" t="0" r="0" b="0"/>
            <wp:docPr id="2" name="Obraz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1" descr=""/>
                    <pic:cNvPicPr>
                      <a:picLocks noChangeAspect="1" noChangeArrowheads="1"/>
                    </pic:cNvPicPr>
                  </pic:nvPicPr>
                  <pic:blipFill>
                    <a:blip r:embed="rId3"/>
                    <a:stretch>
                      <a:fillRect/>
                    </a:stretch>
                  </pic:blipFill>
                  <pic:spPr bwMode="auto">
                    <a:xfrm>
                      <a:off x="0" y="0"/>
                      <a:ext cx="3115310" cy="674370"/>
                    </a:xfrm>
                    <a:prstGeom prst="rect">
                      <a:avLst/>
                    </a:prstGeom>
                  </pic:spPr>
                </pic:pic>
              </a:graphicData>
            </a:graphic>
          </wp:inline>
        </w:drawing>
      </w:r>
      <w:r>
        <w:rPr/>
        <w:drawing>
          <wp:inline distT="0" distB="0" distL="0" distR="0">
            <wp:extent cx="876300" cy="810895"/>
            <wp:effectExtent l="0" t="0" r="0" b="0"/>
            <wp:docPr id="3" name="Obraz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descr=""/>
                    <pic:cNvPicPr>
                      <a:picLocks noChangeAspect="1" noChangeArrowheads="1"/>
                    </pic:cNvPicPr>
                  </pic:nvPicPr>
                  <pic:blipFill>
                    <a:blip r:embed="rId4"/>
                    <a:stretch>
                      <a:fillRect/>
                    </a:stretch>
                  </pic:blipFill>
                  <pic:spPr bwMode="auto">
                    <a:xfrm>
                      <a:off x="0" y="0"/>
                      <a:ext cx="876300" cy="810895"/>
                    </a:xfrm>
                    <a:prstGeom prst="rect">
                      <a:avLst/>
                    </a:prstGeom>
                  </pic:spPr>
                </pic:pic>
              </a:graphicData>
            </a:graphic>
          </wp:inline>
        </w:drawing>
      </w:r>
    </w:p>
    <w:sdt>
      <w:sdtPr>
        <w:docPartObj>
          <w:docPartGallery w:val="Table of Contents"/>
          <w:docPartUnique w:val="true"/>
        </w:docPartObj>
      </w:sdtPr>
      <w:sdtContent>
        <w:p>
          <w:pPr>
            <w:pStyle w:val="TOCHeading"/>
            <w:spacing w:lineRule="auto" w:line="360" w:before="0" w:after="0"/>
            <w:rPr>
              <w:rFonts w:ascii="Times New Roman" w:hAnsi="Times New Roman" w:cs="Times New Roman"/>
              <w:color w:val="auto"/>
              <w:sz w:val="22"/>
              <w:szCs w:val="22"/>
            </w:rPr>
          </w:pPr>
          <w:r>
            <w:rPr>
              <w:rFonts w:cs="Times New Roman" w:ascii="Times New Roman" w:hAnsi="Times New Roman"/>
              <w:color w:val="auto"/>
              <w:sz w:val="22"/>
              <w:szCs w:val="22"/>
            </w:rPr>
            <w:t>Spis treści</w:t>
          </w:r>
        </w:p>
        <w:p>
          <w:pPr>
            <w:pStyle w:val="Spistreci1"/>
            <w:tabs>
              <w:tab w:val="clear" w:pos="708"/>
              <w:tab w:val="right" w:pos="9062" w:leader="dot"/>
            </w:tabs>
            <w:spacing w:lineRule="auto" w:line="276" w:before="0" w:after="0"/>
            <w:rPr>
              <w:rFonts w:ascii="Times New Roman" w:hAnsi="Times New Roman"/>
            </w:rPr>
          </w:pPr>
          <w:r>
            <w:fldChar w:fldCharType="begin"/>
          </w:r>
          <w:r>
            <w:rPr>
              <w:webHidden/>
              <w:rStyle w:val="Czeindeksu"/>
              <w:vanish w:val="false"/>
              <w:rFonts w:ascii="Times New Roman" w:hAnsi="Times New Roman"/>
            </w:rPr>
            <w:instrText> TOC \z \o "1-3" \u \h</w:instrText>
          </w:r>
          <w:r>
            <w:rPr>
              <w:webHidden/>
              <w:rStyle w:val="Czeindeksu"/>
              <w:vanish w:val="false"/>
              <w:rFonts w:ascii="Times New Roman" w:hAnsi="Times New Roman"/>
            </w:rPr>
            <w:fldChar w:fldCharType="separate"/>
          </w:r>
          <w:hyperlink w:anchor="_Toc85228955">
            <w:r>
              <w:rPr>
                <w:webHidden/>
              </w:rPr>
              <w:fldChar w:fldCharType="begin"/>
            </w:r>
            <w:r>
              <w:rPr>
                <w:webHidden/>
              </w:rPr>
              <w:instrText>PAGEREF _Toc85228955 \h</w:instrText>
            </w:r>
            <w:r>
              <w:rPr>
                <w:webHidden/>
              </w:rPr>
              <w:fldChar w:fldCharType="separate"/>
            </w:r>
            <w:r>
              <w:rPr>
                <w:webHidden/>
                <w:rStyle w:val="Czeindeksu"/>
                <w:rFonts w:ascii="Times New Roman" w:hAnsi="Times New Roman"/>
                <w:vanish w:val="false"/>
              </w:rPr>
              <w:t>Wstęp</w:t>
              <w:tab/>
              <w:t>3</w:t>
            </w:r>
            <w:r>
              <w:rPr>
                <w:webHidden/>
              </w:rPr>
              <w:fldChar w:fldCharType="end"/>
            </w:r>
          </w:hyperlink>
        </w:p>
        <w:p>
          <w:pPr>
            <w:pStyle w:val="Spistreci1"/>
            <w:tabs>
              <w:tab w:val="clear" w:pos="708"/>
              <w:tab w:val="right" w:pos="9062" w:leader="dot"/>
            </w:tabs>
            <w:spacing w:lineRule="auto" w:line="276" w:before="0" w:after="0"/>
            <w:rPr>
              <w:rFonts w:ascii="Times New Roman" w:hAnsi="Times New Roman"/>
            </w:rPr>
          </w:pPr>
          <w:hyperlink w:anchor="_Toc85228956">
            <w:r>
              <w:rPr>
                <w:webHidden/>
              </w:rPr>
              <w:fldChar w:fldCharType="begin"/>
            </w:r>
            <w:r>
              <w:rPr>
                <w:webHidden/>
              </w:rPr>
              <w:instrText>PAGEREF _Toc85228956 \h</w:instrText>
            </w:r>
            <w:r>
              <w:rPr>
                <w:webHidden/>
              </w:rPr>
              <w:fldChar w:fldCharType="separate"/>
            </w:r>
            <w:r>
              <w:rPr>
                <w:webHidden/>
                <w:rStyle w:val="Czeindeksu"/>
                <w:rFonts w:ascii="Times New Roman" w:hAnsi="Times New Roman"/>
                <w:vanish w:val="false"/>
              </w:rPr>
              <w:t>Rozdział 1. Diagnoza sytuacji gospodarczej w gminie Choceń</w:t>
              <w:tab/>
              <w:t>5</w:t>
            </w:r>
            <w:r>
              <w:rPr>
                <w:webHidden/>
              </w:rPr>
              <w:fldChar w:fldCharType="end"/>
            </w:r>
          </w:hyperlink>
        </w:p>
        <w:p>
          <w:pPr>
            <w:pStyle w:val="Spistreci2"/>
            <w:tabs>
              <w:tab w:val="clear" w:pos="708"/>
              <w:tab w:val="right" w:pos="9062" w:leader="dot"/>
            </w:tabs>
            <w:spacing w:before="0" w:after="0"/>
            <w:rPr>
              <w:rFonts w:ascii="Times New Roman" w:hAnsi="Times New Roman" w:eastAsia="" w:cs="Times New Roman" w:eastAsiaTheme="minorEastAsia"/>
              <w:lang w:eastAsia="pl-PL"/>
            </w:rPr>
          </w:pPr>
          <w:hyperlink w:anchor="_Toc85228957">
            <w:r>
              <w:rPr>
                <w:webHidden/>
              </w:rPr>
              <w:fldChar w:fldCharType="begin"/>
            </w:r>
            <w:r>
              <w:rPr>
                <w:webHidden/>
              </w:rPr>
              <w:instrText>PAGEREF _Toc85228957 \h</w:instrText>
            </w:r>
            <w:r>
              <w:rPr>
                <w:webHidden/>
              </w:rPr>
              <w:fldChar w:fldCharType="separate"/>
            </w:r>
            <w:r>
              <w:rPr>
                <w:webHidden/>
                <w:rStyle w:val="Czeindeksu"/>
                <w:rFonts w:cs="Times New Roman" w:ascii="Times New Roman" w:hAnsi="Times New Roman"/>
                <w:vanish w:val="false"/>
              </w:rPr>
              <w:t>Podstawowe informacje o gminie i sytuacji demograficznej</w:t>
              <w:tab/>
              <w:t>5</w:t>
            </w:r>
            <w:r>
              <w:rPr>
                <w:webHidden/>
              </w:rPr>
              <w:fldChar w:fldCharType="end"/>
            </w:r>
          </w:hyperlink>
        </w:p>
        <w:p>
          <w:pPr>
            <w:pStyle w:val="Spistreci2"/>
            <w:tabs>
              <w:tab w:val="clear" w:pos="708"/>
              <w:tab w:val="right" w:pos="9062" w:leader="dot"/>
            </w:tabs>
            <w:spacing w:before="0" w:after="0"/>
            <w:rPr>
              <w:rFonts w:ascii="Times New Roman" w:hAnsi="Times New Roman" w:eastAsia="" w:cs="Times New Roman" w:eastAsiaTheme="minorEastAsia"/>
              <w:lang w:eastAsia="pl-PL"/>
            </w:rPr>
          </w:pPr>
          <w:hyperlink w:anchor="_Toc85228958">
            <w:r>
              <w:rPr>
                <w:webHidden/>
              </w:rPr>
              <w:fldChar w:fldCharType="begin"/>
            </w:r>
            <w:r>
              <w:rPr>
                <w:webHidden/>
              </w:rPr>
              <w:instrText>PAGEREF _Toc85228958 \h</w:instrText>
            </w:r>
            <w:r>
              <w:rPr>
                <w:webHidden/>
              </w:rPr>
              <w:fldChar w:fldCharType="separate"/>
            </w:r>
            <w:r>
              <w:rPr>
                <w:webHidden/>
                <w:rStyle w:val="Czeindeksu"/>
                <w:rFonts w:cs="Times New Roman" w:ascii="Times New Roman" w:hAnsi="Times New Roman"/>
                <w:vanish w:val="false"/>
              </w:rPr>
              <w:t>Infrastruktura komunikacyjna</w:t>
              <w:tab/>
              <w:t>9</w:t>
            </w:r>
            <w:r>
              <w:rPr>
                <w:webHidden/>
              </w:rPr>
              <w:fldChar w:fldCharType="end"/>
            </w:r>
          </w:hyperlink>
        </w:p>
        <w:p>
          <w:pPr>
            <w:pStyle w:val="Spistreci2"/>
            <w:tabs>
              <w:tab w:val="clear" w:pos="708"/>
              <w:tab w:val="right" w:pos="9062" w:leader="dot"/>
            </w:tabs>
            <w:spacing w:before="0" w:after="0"/>
            <w:rPr>
              <w:rFonts w:ascii="Times New Roman" w:hAnsi="Times New Roman" w:eastAsia="" w:cs="Times New Roman" w:eastAsiaTheme="minorEastAsia"/>
              <w:lang w:eastAsia="pl-PL"/>
            </w:rPr>
          </w:pPr>
          <w:hyperlink w:anchor="_Toc85228959">
            <w:r>
              <w:rPr>
                <w:webHidden/>
                <w:rStyle w:val="Czeindeksu"/>
                <w:rFonts w:cs="Times New Roman" w:ascii="Times New Roman" w:hAnsi="Times New Roman"/>
                <w:vanish w:val="false"/>
                <w:shd w:fill="FFFFFF" w:val="clear"/>
              </w:rPr>
              <w:t>Komunikacja publiczna</w:t>
            </w:r>
            <w:r>
              <w:rPr>
                <w:webHidden/>
              </w:rPr>
              <w:fldChar w:fldCharType="begin"/>
            </w:r>
            <w:r>
              <w:rPr>
                <w:webHidden/>
              </w:rPr>
              <w:instrText>PAGEREF _Toc85228959 \h</w:instrText>
            </w:r>
            <w:r>
              <w:rPr>
                <w:webHidden/>
              </w:rPr>
              <w:fldChar w:fldCharType="separate"/>
            </w:r>
            <w:r>
              <w:rPr>
                <w:rStyle w:val="Czeindeksu"/>
                <w:rFonts w:cs="Times New Roman" w:ascii="Times New Roman" w:hAnsi="Times New Roman"/>
                <w:vanish w:val="false"/>
              </w:rPr>
              <w:tab/>
              <w:t>9</w:t>
            </w:r>
            <w:r>
              <w:rPr>
                <w:webHidden/>
              </w:rPr>
              <w:fldChar w:fldCharType="end"/>
            </w:r>
          </w:hyperlink>
        </w:p>
        <w:p>
          <w:pPr>
            <w:pStyle w:val="Spistreci2"/>
            <w:tabs>
              <w:tab w:val="clear" w:pos="708"/>
              <w:tab w:val="right" w:pos="9062" w:leader="dot"/>
            </w:tabs>
            <w:spacing w:before="0" w:after="0"/>
            <w:rPr>
              <w:rFonts w:ascii="Times New Roman" w:hAnsi="Times New Roman" w:eastAsia="" w:cs="Times New Roman" w:eastAsiaTheme="minorEastAsia"/>
              <w:lang w:eastAsia="pl-PL"/>
            </w:rPr>
          </w:pPr>
          <w:hyperlink w:anchor="_Toc85228960">
            <w:r>
              <w:rPr>
                <w:webHidden/>
                <w:rStyle w:val="Czeindeksu"/>
                <w:rFonts w:cs="Times New Roman" w:ascii="Times New Roman" w:hAnsi="Times New Roman"/>
                <w:vanish w:val="false"/>
                <w:shd w:fill="FFFFFF" w:val="clear"/>
              </w:rPr>
              <w:t>Infrastruktura energetyczna</w:t>
            </w:r>
            <w:r>
              <w:rPr>
                <w:webHidden/>
              </w:rPr>
              <w:fldChar w:fldCharType="begin"/>
            </w:r>
            <w:r>
              <w:rPr>
                <w:webHidden/>
              </w:rPr>
              <w:instrText>PAGEREF _Toc85228960 \h</w:instrText>
            </w:r>
            <w:r>
              <w:rPr>
                <w:webHidden/>
              </w:rPr>
              <w:fldChar w:fldCharType="separate"/>
            </w:r>
            <w:r>
              <w:rPr>
                <w:rStyle w:val="Czeindeksu"/>
                <w:rFonts w:cs="Times New Roman" w:ascii="Times New Roman" w:hAnsi="Times New Roman"/>
                <w:vanish w:val="false"/>
              </w:rPr>
              <w:tab/>
              <w:t>10</w:t>
            </w:r>
            <w:r>
              <w:rPr>
                <w:webHidden/>
              </w:rPr>
              <w:fldChar w:fldCharType="end"/>
            </w:r>
          </w:hyperlink>
        </w:p>
        <w:p>
          <w:pPr>
            <w:pStyle w:val="Spistreci2"/>
            <w:tabs>
              <w:tab w:val="clear" w:pos="708"/>
              <w:tab w:val="right" w:pos="9062" w:leader="dot"/>
            </w:tabs>
            <w:spacing w:before="0" w:after="0"/>
            <w:rPr>
              <w:rFonts w:ascii="Times New Roman" w:hAnsi="Times New Roman" w:eastAsia="" w:cs="Times New Roman" w:eastAsiaTheme="minorEastAsia"/>
              <w:lang w:eastAsia="pl-PL"/>
            </w:rPr>
          </w:pPr>
          <w:hyperlink w:anchor="_Toc85228961">
            <w:r>
              <w:rPr>
                <w:webHidden/>
                <w:rStyle w:val="Czeindeksu"/>
                <w:rFonts w:cs="Times New Roman" w:ascii="Times New Roman" w:hAnsi="Times New Roman"/>
                <w:vanish w:val="false"/>
                <w:shd w:fill="FFFFFF" w:val="clear"/>
              </w:rPr>
              <w:t>Media wodno-kanalizacyjne</w:t>
            </w:r>
            <w:r>
              <w:rPr>
                <w:webHidden/>
              </w:rPr>
              <w:fldChar w:fldCharType="begin"/>
            </w:r>
            <w:r>
              <w:rPr>
                <w:webHidden/>
              </w:rPr>
              <w:instrText>PAGEREF _Toc85228961 \h</w:instrText>
            </w:r>
            <w:r>
              <w:rPr>
                <w:webHidden/>
              </w:rPr>
              <w:fldChar w:fldCharType="separate"/>
            </w:r>
            <w:r>
              <w:rPr>
                <w:rStyle w:val="Czeindeksu"/>
                <w:rFonts w:cs="Times New Roman" w:ascii="Times New Roman" w:hAnsi="Times New Roman"/>
                <w:vanish w:val="false"/>
              </w:rPr>
              <w:tab/>
              <w:t>11</w:t>
            </w:r>
            <w:r>
              <w:rPr>
                <w:webHidden/>
              </w:rPr>
              <w:fldChar w:fldCharType="end"/>
            </w:r>
          </w:hyperlink>
        </w:p>
        <w:p>
          <w:pPr>
            <w:pStyle w:val="Spistreci2"/>
            <w:tabs>
              <w:tab w:val="clear" w:pos="708"/>
              <w:tab w:val="right" w:pos="9062" w:leader="dot"/>
            </w:tabs>
            <w:spacing w:before="0" w:after="0"/>
            <w:rPr>
              <w:rFonts w:ascii="Times New Roman" w:hAnsi="Times New Roman" w:eastAsia="" w:cs="Times New Roman" w:eastAsiaTheme="minorEastAsia"/>
              <w:lang w:eastAsia="pl-PL"/>
            </w:rPr>
          </w:pPr>
          <w:hyperlink w:anchor="_Toc85228962">
            <w:r>
              <w:rPr>
                <w:webHidden/>
                <w:rStyle w:val="Czeindeksu"/>
                <w:rFonts w:cs="Times New Roman" w:ascii="Times New Roman" w:hAnsi="Times New Roman"/>
                <w:vanish w:val="false"/>
                <w:shd w:fill="FFFFFF" w:val="clear"/>
              </w:rPr>
              <w:t>Podstawowe informacje o strukturze edukacyjnej</w:t>
            </w:r>
            <w:r>
              <w:rPr>
                <w:webHidden/>
              </w:rPr>
              <w:fldChar w:fldCharType="begin"/>
            </w:r>
            <w:r>
              <w:rPr>
                <w:webHidden/>
              </w:rPr>
              <w:instrText>PAGEREF _Toc85228962 \h</w:instrText>
            </w:r>
            <w:r>
              <w:rPr>
                <w:webHidden/>
              </w:rPr>
              <w:fldChar w:fldCharType="separate"/>
            </w:r>
            <w:r>
              <w:rPr>
                <w:rStyle w:val="Czeindeksu"/>
                <w:rFonts w:cs="Times New Roman" w:ascii="Times New Roman" w:hAnsi="Times New Roman"/>
                <w:vanish w:val="false"/>
              </w:rPr>
              <w:tab/>
              <w:t>13</w:t>
            </w:r>
            <w:r>
              <w:rPr>
                <w:webHidden/>
              </w:rPr>
              <w:fldChar w:fldCharType="end"/>
            </w:r>
          </w:hyperlink>
        </w:p>
        <w:p>
          <w:pPr>
            <w:pStyle w:val="Spistreci2"/>
            <w:tabs>
              <w:tab w:val="clear" w:pos="708"/>
              <w:tab w:val="right" w:pos="9062" w:leader="dot"/>
            </w:tabs>
            <w:spacing w:before="0" w:after="0"/>
            <w:rPr>
              <w:rFonts w:ascii="Times New Roman" w:hAnsi="Times New Roman" w:eastAsia="" w:cs="Times New Roman" w:eastAsiaTheme="minorEastAsia"/>
              <w:lang w:eastAsia="pl-PL"/>
            </w:rPr>
          </w:pPr>
          <w:hyperlink w:anchor="_Toc85228963">
            <w:r>
              <w:rPr>
                <w:webHidden/>
                <w:rStyle w:val="Czeindeksu"/>
                <w:rFonts w:cs="Times New Roman" w:ascii="Times New Roman" w:hAnsi="Times New Roman"/>
                <w:vanish w:val="false"/>
                <w:shd w:fill="FFFFFF" w:val="clear"/>
              </w:rPr>
              <w:t>Światłowód</w:t>
            </w:r>
            <w:r>
              <w:rPr>
                <w:webHidden/>
              </w:rPr>
              <w:fldChar w:fldCharType="begin"/>
            </w:r>
            <w:r>
              <w:rPr>
                <w:webHidden/>
              </w:rPr>
              <w:instrText>PAGEREF _Toc85228963 \h</w:instrText>
            </w:r>
            <w:r>
              <w:rPr>
                <w:webHidden/>
              </w:rPr>
              <w:fldChar w:fldCharType="separate"/>
            </w:r>
            <w:r>
              <w:rPr>
                <w:rStyle w:val="Czeindeksu"/>
                <w:rFonts w:cs="Times New Roman" w:ascii="Times New Roman" w:hAnsi="Times New Roman"/>
                <w:vanish w:val="false"/>
              </w:rPr>
              <w:tab/>
              <w:t>13</w:t>
            </w:r>
            <w:r>
              <w:rPr>
                <w:webHidden/>
              </w:rPr>
              <w:fldChar w:fldCharType="end"/>
            </w:r>
          </w:hyperlink>
        </w:p>
        <w:p>
          <w:pPr>
            <w:pStyle w:val="Spistreci2"/>
            <w:tabs>
              <w:tab w:val="clear" w:pos="708"/>
              <w:tab w:val="right" w:pos="9062" w:leader="dot"/>
            </w:tabs>
            <w:spacing w:before="0" w:after="0"/>
            <w:rPr>
              <w:rFonts w:ascii="Times New Roman" w:hAnsi="Times New Roman" w:eastAsia="" w:cs="Times New Roman" w:eastAsiaTheme="minorEastAsia"/>
              <w:lang w:eastAsia="pl-PL"/>
            </w:rPr>
          </w:pPr>
          <w:hyperlink w:anchor="_Toc85228964">
            <w:r>
              <w:rPr>
                <w:webHidden/>
              </w:rPr>
              <w:fldChar w:fldCharType="begin"/>
            </w:r>
            <w:r>
              <w:rPr>
                <w:webHidden/>
              </w:rPr>
              <w:instrText>PAGEREF _Toc85228964 \h</w:instrText>
            </w:r>
            <w:r>
              <w:rPr>
                <w:webHidden/>
              </w:rPr>
              <w:fldChar w:fldCharType="separate"/>
            </w:r>
            <w:r>
              <w:rPr>
                <w:webHidden/>
                <w:rStyle w:val="Czeindeksu"/>
                <w:rFonts w:cs="Times New Roman" w:ascii="Times New Roman" w:hAnsi="Times New Roman"/>
                <w:vanish w:val="false"/>
              </w:rPr>
              <w:t>Nieruchomości i tereny inwestycyjne</w:t>
              <w:tab/>
              <w:t>13</w:t>
            </w:r>
            <w:r>
              <w:rPr>
                <w:webHidden/>
              </w:rPr>
              <w:fldChar w:fldCharType="end"/>
            </w:r>
          </w:hyperlink>
        </w:p>
        <w:p>
          <w:pPr>
            <w:pStyle w:val="Spistreci2"/>
            <w:tabs>
              <w:tab w:val="clear" w:pos="708"/>
              <w:tab w:val="right" w:pos="9062" w:leader="dot"/>
            </w:tabs>
            <w:spacing w:before="0" w:after="0"/>
            <w:rPr>
              <w:rFonts w:ascii="Times New Roman" w:hAnsi="Times New Roman" w:eastAsia="" w:cs="Times New Roman" w:eastAsiaTheme="minorEastAsia"/>
              <w:lang w:eastAsia="pl-PL"/>
            </w:rPr>
          </w:pPr>
          <w:hyperlink w:anchor="_Toc85228965">
            <w:r>
              <w:rPr>
                <w:webHidden/>
                <w:rStyle w:val="Czeindeksu"/>
                <w:rFonts w:cs="Times New Roman" w:ascii="Times New Roman" w:hAnsi="Times New Roman"/>
                <w:vanish w:val="false"/>
                <w:shd w:fill="FFFFFF" w:val="clear"/>
              </w:rPr>
              <w:t>Pożądane kierunki rozwoju</w:t>
            </w:r>
            <w:r>
              <w:rPr>
                <w:webHidden/>
              </w:rPr>
              <w:fldChar w:fldCharType="begin"/>
            </w:r>
            <w:r>
              <w:rPr>
                <w:webHidden/>
              </w:rPr>
              <w:instrText>PAGEREF _Toc85228965 \h</w:instrText>
            </w:r>
            <w:r>
              <w:rPr>
                <w:webHidden/>
              </w:rPr>
              <w:fldChar w:fldCharType="separate"/>
            </w:r>
            <w:r>
              <w:rPr>
                <w:rStyle w:val="Czeindeksu"/>
                <w:rFonts w:cs="Times New Roman" w:ascii="Times New Roman" w:hAnsi="Times New Roman"/>
                <w:vanish w:val="false"/>
              </w:rPr>
              <w:tab/>
              <w:t>14</w:t>
            </w:r>
            <w:r>
              <w:rPr>
                <w:webHidden/>
              </w:rPr>
              <w:fldChar w:fldCharType="end"/>
            </w:r>
          </w:hyperlink>
        </w:p>
        <w:p>
          <w:pPr>
            <w:pStyle w:val="Spistreci2"/>
            <w:tabs>
              <w:tab w:val="clear" w:pos="708"/>
              <w:tab w:val="right" w:pos="9062" w:leader="dot"/>
            </w:tabs>
            <w:spacing w:before="0" w:after="0"/>
            <w:rPr>
              <w:rFonts w:ascii="Times New Roman" w:hAnsi="Times New Roman" w:eastAsia="" w:cs="Times New Roman" w:eastAsiaTheme="minorEastAsia"/>
              <w:lang w:eastAsia="pl-PL"/>
            </w:rPr>
          </w:pPr>
          <w:hyperlink w:anchor="_Toc85228966">
            <w:r>
              <w:rPr>
                <w:webHidden/>
                <w:rStyle w:val="Czeindeksu"/>
                <w:rFonts w:cs="Times New Roman" w:ascii="Times New Roman" w:hAnsi="Times New Roman"/>
                <w:vanish w:val="false"/>
                <w:shd w:fill="FFFFFF" w:val="clear"/>
              </w:rPr>
              <w:t>Przynależność gminy do organizacji i stowarzyszeń</w:t>
            </w:r>
            <w:r>
              <w:rPr>
                <w:webHidden/>
              </w:rPr>
              <w:fldChar w:fldCharType="begin"/>
            </w:r>
            <w:r>
              <w:rPr>
                <w:webHidden/>
              </w:rPr>
              <w:instrText>PAGEREF _Toc85228966 \h</w:instrText>
            </w:r>
            <w:r>
              <w:rPr>
                <w:webHidden/>
              </w:rPr>
              <w:fldChar w:fldCharType="separate"/>
            </w:r>
            <w:r>
              <w:rPr>
                <w:rStyle w:val="Czeindeksu"/>
                <w:rFonts w:cs="Times New Roman" w:ascii="Times New Roman" w:hAnsi="Times New Roman"/>
                <w:vanish w:val="false"/>
              </w:rPr>
              <w:tab/>
              <w:t>15</w:t>
            </w:r>
            <w:r>
              <w:rPr>
                <w:webHidden/>
              </w:rPr>
              <w:fldChar w:fldCharType="end"/>
            </w:r>
          </w:hyperlink>
        </w:p>
        <w:p>
          <w:pPr>
            <w:pStyle w:val="Spistreci2"/>
            <w:tabs>
              <w:tab w:val="clear" w:pos="708"/>
              <w:tab w:val="right" w:pos="9062" w:leader="dot"/>
            </w:tabs>
            <w:spacing w:before="0" w:after="0"/>
            <w:rPr>
              <w:rFonts w:ascii="Times New Roman" w:hAnsi="Times New Roman" w:eastAsia="" w:cs="Times New Roman" w:eastAsiaTheme="minorEastAsia"/>
              <w:lang w:eastAsia="pl-PL"/>
            </w:rPr>
          </w:pPr>
          <w:hyperlink w:anchor="_Toc85228967">
            <w:r>
              <w:rPr>
                <w:webHidden/>
              </w:rPr>
              <w:fldChar w:fldCharType="begin"/>
            </w:r>
            <w:r>
              <w:rPr>
                <w:webHidden/>
              </w:rPr>
              <w:instrText>PAGEREF _Toc85228967 \h</w:instrText>
            </w:r>
            <w:r>
              <w:rPr>
                <w:webHidden/>
              </w:rPr>
              <w:fldChar w:fldCharType="separate"/>
            </w:r>
            <w:r>
              <w:rPr>
                <w:webHidden/>
                <w:rStyle w:val="Czeindeksu"/>
                <w:rFonts w:cs="Times New Roman" w:ascii="Times New Roman" w:hAnsi="Times New Roman"/>
                <w:vanish w:val="false"/>
              </w:rPr>
              <w:t>Gmina na tle województwa</w:t>
              <w:tab/>
              <w:t>15</w:t>
            </w:r>
            <w:r>
              <w:rPr>
                <w:webHidden/>
              </w:rPr>
              <w:fldChar w:fldCharType="end"/>
            </w:r>
          </w:hyperlink>
        </w:p>
        <w:p>
          <w:pPr>
            <w:pStyle w:val="Spistreci2"/>
            <w:tabs>
              <w:tab w:val="clear" w:pos="708"/>
              <w:tab w:val="right" w:pos="9062" w:leader="dot"/>
            </w:tabs>
            <w:spacing w:before="0" w:after="0"/>
            <w:rPr>
              <w:rFonts w:ascii="Times New Roman" w:hAnsi="Times New Roman" w:eastAsia="" w:cs="Times New Roman" w:eastAsiaTheme="minorEastAsia"/>
              <w:lang w:eastAsia="pl-PL"/>
            </w:rPr>
          </w:pPr>
          <w:hyperlink w:anchor="_Toc85228968">
            <w:r>
              <w:rPr>
                <w:webHidden/>
              </w:rPr>
              <w:fldChar w:fldCharType="begin"/>
            </w:r>
            <w:r>
              <w:rPr>
                <w:webHidden/>
              </w:rPr>
              <w:instrText>PAGEREF _Toc85228968 \h</w:instrText>
            </w:r>
            <w:r>
              <w:rPr>
                <w:webHidden/>
              </w:rPr>
              <w:fldChar w:fldCharType="separate"/>
            </w:r>
            <w:r>
              <w:rPr>
                <w:webHidden/>
                <w:rStyle w:val="Czeindeksu"/>
                <w:rFonts w:cs="Times New Roman" w:ascii="Times New Roman" w:hAnsi="Times New Roman"/>
                <w:vanish w:val="false"/>
              </w:rPr>
              <w:t>Przedsiębiorstwa płacące podatki w gminie</w:t>
              <w:tab/>
              <w:t>20</w:t>
            </w:r>
            <w:r>
              <w:rPr>
                <w:webHidden/>
              </w:rPr>
              <w:fldChar w:fldCharType="end"/>
            </w:r>
          </w:hyperlink>
        </w:p>
        <w:p>
          <w:pPr>
            <w:pStyle w:val="Spistreci2"/>
            <w:tabs>
              <w:tab w:val="clear" w:pos="708"/>
              <w:tab w:val="right" w:pos="9062" w:leader="dot"/>
            </w:tabs>
            <w:spacing w:before="0" w:after="0"/>
            <w:rPr>
              <w:rFonts w:ascii="Times New Roman" w:hAnsi="Times New Roman" w:eastAsia="" w:cs="Times New Roman" w:eastAsiaTheme="minorEastAsia"/>
              <w:lang w:eastAsia="pl-PL"/>
            </w:rPr>
          </w:pPr>
          <w:hyperlink w:anchor="_Toc85228969">
            <w:r>
              <w:rPr>
                <w:webHidden/>
              </w:rPr>
              <w:fldChar w:fldCharType="begin"/>
            </w:r>
            <w:r>
              <w:rPr>
                <w:webHidden/>
              </w:rPr>
              <w:instrText>PAGEREF _Toc85228969 \h</w:instrText>
            </w:r>
            <w:r>
              <w:rPr>
                <w:webHidden/>
              </w:rPr>
              <w:fldChar w:fldCharType="separate"/>
            </w:r>
            <w:r>
              <w:rPr>
                <w:webHidden/>
                <w:rStyle w:val="Czeindeksu"/>
                <w:rFonts w:cs="Times New Roman" w:ascii="Times New Roman" w:hAnsi="Times New Roman"/>
                <w:vanish w:val="false"/>
              </w:rPr>
              <w:t>Przychody i dochody podatników prowadzących działalność gospodarczą w gminie</w:t>
              <w:tab/>
              <w:t>21</w:t>
            </w:r>
            <w:r>
              <w:rPr>
                <w:webHidden/>
              </w:rPr>
              <w:fldChar w:fldCharType="end"/>
            </w:r>
          </w:hyperlink>
        </w:p>
        <w:p>
          <w:pPr>
            <w:pStyle w:val="Spistreci1"/>
            <w:tabs>
              <w:tab w:val="clear" w:pos="708"/>
              <w:tab w:val="right" w:pos="9062" w:leader="dot"/>
            </w:tabs>
            <w:spacing w:lineRule="auto" w:line="276" w:before="0" w:after="0"/>
            <w:rPr>
              <w:rFonts w:ascii="Times New Roman" w:hAnsi="Times New Roman"/>
            </w:rPr>
          </w:pPr>
          <w:hyperlink w:anchor="_Toc85228970">
            <w:r>
              <w:rPr>
                <w:webHidden/>
              </w:rPr>
              <w:fldChar w:fldCharType="begin"/>
            </w:r>
            <w:r>
              <w:rPr>
                <w:webHidden/>
              </w:rPr>
              <w:instrText>PAGEREF _Toc85228970 \h</w:instrText>
            </w:r>
            <w:r>
              <w:rPr>
                <w:webHidden/>
              </w:rPr>
              <w:fldChar w:fldCharType="separate"/>
            </w:r>
            <w:r>
              <w:rPr>
                <w:webHidden/>
                <w:rStyle w:val="Czeindeksu"/>
                <w:rFonts w:ascii="Times New Roman" w:hAnsi="Times New Roman"/>
                <w:vanish w:val="false"/>
              </w:rPr>
              <w:t>Rozdział 2. Analiza SWOT</w:t>
              <w:tab/>
              <w:t>23</w:t>
            </w:r>
            <w:r>
              <w:rPr>
                <w:webHidden/>
              </w:rPr>
              <w:fldChar w:fldCharType="end"/>
            </w:r>
          </w:hyperlink>
        </w:p>
        <w:p>
          <w:pPr>
            <w:pStyle w:val="Spistreci1"/>
            <w:tabs>
              <w:tab w:val="clear" w:pos="708"/>
              <w:tab w:val="right" w:pos="9062" w:leader="dot"/>
            </w:tabs>
            <w:spacing w:lineRule="auto" w:line="276" w:before="0" w:after="0"/>
            <w:rPr>
              <w:rFonts w:ascii="Times New Roman" w:hAnsi="Times New Roman"/>
            </w:rPr>
          </w:pPr>
          <w:hyperlink w:anchor="_Toc85228971">
            <w:r>
              <w:rPr>
                <w:webHidden/>
              </w:rPr>
              <w:fldChar w:fldCharType="begin"/>
            </w:r>
            <w:r>
              <w:rPr>
                <w:webHidden/>
              </w:rPr>
              <w:instrText>PAGEREF _Toc85228971 \h</w:instrText>
            </w:r>
            <w:r>
              <w:rPr>
                <w:webHidden/>
              </w:rPr>
              <w:fldChar w:fldCharType="separate"/>
            </w:r>
            <w:r>
              <w:rPr>
                <w:webHidden/>
                <w:rStyle w:val="Czeindeksu"/>
                <w:rFonts w:ascii="Times New Roman" w:hAnsi="Times New Roman"/>
                <w:vanish w:val="false"/>
              </w:rPr>
              <w:t>Rozdział 3. Cele i Priorytety Lokalnego Programu Rozwoju Gospodarczego</w:t>
              <w:tab/>
              <w:t>25</w:t>
            </w:r>
            <w:r>
              <w:rPr>
                <w:webHidden/>
              </w:rPr>
              <w:fldChar w:fldCharType="end"/>
            </w:r>
          </w:hyperlink>
        </w:p>
        <w:p>
          <w:pPr>
            <w:pStyle w:val="Spistreci2"/>
            <w:tabs>
              <w:tab w:val="clear" w:pos="708"/>
              <w:tab w:val="right" w:pos="9062" w:leader="dot"/>
            </w:tabs>
            <w:spacing w:before="0" w:after="0"/>
            <w:rPr>
              <w:rFonts w:ascii="Times New Roman" w:hAnsi="Times New Roman" w:eastAsia="" w:cs="Times New Roman" w:eastAsiaTheme="minorEastAsia"/>
              <w:lang w:eastAsia="pl-PL"/>
            </w:rPr>
          </w:pPr>
          <w:hyperlink w:anchor="_Toc85228972">
            <w:r>
              <w:rPr>
                <w:webHidden/>
              </w:rPr>
              <w:fldChar w:fldCharType="begin"/>
            </w:r>
            <w:r>
              <w:rPr>
                <w:webHidden/>
              </w:rPr>
              <w:instrText>PAGEREF _Toc85228972 \h</w:instrText>
            </w:r>
            <w:r>
              <w:rPr>
                <w:webHidden/>
              </w:rPr>
              <w:fldChar w:fldCharType="separate"/>
            </w:r>
            <w:r>
              <w:rPr>
                <w:webHidden/>
                <w:rStyle w:val="Czeindeksu"/>
                <w:rFonts w:cs="Times New Roman" w:ascii="Times New Roman" w:hAnsi="Times New Roman"/>
                <w:vanish w:val="false"/>
              </w:rPr>
              <w:t>3.1. Wizja LPRG</w:t>
              <w:tab/>
              <w:t>25</w:t>
            </w:r>
            <w:r>
              <w:rPr>
                <w:webHidden/>
              </w:rPr>
              <w:fldChar w:fldCharType="end"/>
            </w:r>
          </w:hyperlink>
        </w:p>
        <w:p>
          <w:pPr>
            <w:pStyle w:val="Spistreci2"/>
            <w:tabs>
              <w:tab w:val="clear" w:pos="708"/>
              <w:tab w:val="right" w:pos="9062" w:leader="dot"/>
            </w:tabs>
            <w:spacing w:before="0" w:after="0"/>
            <w:rPr>
              <w:rFonts w:ascii="Times New Roman" w:hAnsi="Times New Roman" w:eastAsia="" w:cs="Times New Roman" w:eastAsiaTheme="minorEastAsia"/>
              <w:lang w:eastAsia="pl-PL"/>
            </w:rPr>
          </w:pPr>
          <w:hyperlink w:anchor="_Toc85228973">
            <w:r>
              <w:rPr>
                <w:webHidden/>
              </w:rPr>
              <w:fldChar w:fldCharType="begin"/>
            </w:r>
            <w:r>
              <w:rPr>
                <w:webHidden/>
              </w:rPr>
              <w:instrText>PAGEREF _Toc85228973 \h</w:instrText>
            </w:r>
            <w:r>
              <w:rPr>
                <w:webHidden/>
              </w:rPr>
              <w:fldChar w:fldCharType="separate"/>
            </w:r>
            <w:r>
              <w:rPr>
                <w:webHidden/>
                <w:rStyle w:val="Czeindeksu"/>
                <w:rFonts w:cs="Times New Roman" w:ascii="Times New Roman" w:hAnsi="Times New Roman"/>
                <w:vanish w:val="false"/>
              </w:rPr>
              <w:t>3.2. Cele strategiczne LPRG</w:t>
              <w:tab/>
              <w:t>26</w:t>
            </w:r>
            <w:r>
              <w:rPr>
                <w:webHidden/>
              </w:rPr>
              <w:fldChar w:fldCharType="end"/>
            </w:r>
          </w:hyperlink>
        </w:p>
        <w:p>
          <w:pPr>
            <w:pStyle w:val="Spistreci1"/>
            <w:tabs>
              <w:tab w:val="clear" w:pos="708"/>
              <w:tab w:val="right" w:pos="9062" w:leader="dot"/>
            </w:tabs>
            <w:spacing w:lineRule="auto" w:line="276" w:before="0" w:after="0"/>
            <w:rPr>
              <w:rFonts w:ascii="Times New Roman" w:hAnsi="Times New Roman"/>
            </w:rPr>
          </w:pPr>
          <w:hyperlink w:anchor="_Toc85228974">
            <w:r>
              <w:rPr>
                <w:webHidden/>
              </w:rPr>
              <w:fldChar w:fldCharType="begin"/>
            </w:r>
            <w:r>
              <w:rPr>
                <w:webHidden/>
              </w:rPr>
              <w:instrText>PAGEREF _Toc85228974 \h</w:instrText>
            </w:r>
            <w:r>
              <w:rPr>
                <w:webHidden/>
              </w:rPr>
              <w:fldChar w:fldCharType="separate"/>
            </w:r>
            <w:r>
              <w:rPr>
                <w:webHidden/>
                <w:rStyle w:val="Czeindeksu"/>
                <w:rFonts w:ascii="Times New Roman" w:hAnsi="Times New Roman"/>
                <w:vanish w:val="false"/>
              </w:rPr>
              <w:t>Rozdział 4. Inicjatywy Lokalnego Programu Rozwoju Gospodarczego</w:t>
              <w:tab/>
              <w:t>29</w:t>
            </w:r>
            <w:r>
              <w:rPr>
                <w:webHidden/>
              </w:rPr>
              <w:fldChar w:fldCharType="end"/>
            </w:r>
          </w:hyperlink>
        </w:p>
        <w:p>
          <w:pPr>
            <w:pStyle w:val="Spistreci2"/>
            <w:tabs>
              <w:tab w:val="clear" w:pos="708"/>
              <w:tab w:val="right" w:pos="9062" w:leader="dot"/>
            </w:tabs>
            <w:spacing w:before="0" w:after="0"/>
            <w:rPr>
              <w:rFonts w:ascii="Times New Roman" w:hAnsi="Times New Roman" w:eastAsia="" w:cs="Times New Roman" w:eastAsiaTheme="minorEastAsia"/>
              <w:lang w:eastAsia="pl-PL"/>
            </w:rPr>
          </w:pPr>
          <w:hyperlink w:anchor="_Toc85228975">
            <w:r>
              <w:rPr>
                <w:webHidden/>
              </w:rPr>
              <w:fldChar w:fldCharType="begin"/>
            </w:r>
            <w:r>
              <w:rPr>
                <w:webHidden/>
              </w:rPr>
              <w:instrText>PAGEREF _Toc85228975 \h</w:instrText>
            </w:r>
            <w:r>
              <w:rPr>
                <w:webHidden/>
              </w:rPr>
              <w:fldChar w:fldCharType="separate"/>
            </w:r>
            <w:r>
              <w:rPr>
                <w:webHidden/>
                <w:rStyle w:val="Czeindeksu"/>
                <w:rFonts w:cs="Times New Roman" w:ascii="Times New Roman" w:hAnsi="Times New Roman"/>
                <w:vanish w:val="false"/>
              </w:rPr>
              <w:t>4.1. Proces składania i zatwierdzania propozycji inicjatyw</w:t>
              <w:tab/>
              <w:t>29</w:t>
            </w:r>
            <w:r>
              <w:rPr>
                <w:webHidden/>
              </w:rPr>
              <w:fldChar w:fldCharType="end"/>
            </w:r>
          </w:hyperlink>
        </w:p>
        <w:p>
          <w:pPr>
            <w:pStyle w:val="Spistreci2"/>
            <w:tabs>
              <w:tab w:val="clear" w:pos="708"/>
              <w:tab w:val="right" w:pos="9062" w:leader="dot"/>
            </w:tabs>
            <w:spacing w:before="0" w:after="0"/>
            <w:rPr>
              <w:rFonts w:ascii="Times New Roman" w:hAnsi="Times New Roman" w:eastAsia="" w:cs="Times New Roman" w:eastAsiaTheme="minorEastAsia"/>
              <w:lang w:eastAsia="pl-PL"/>
            </w:rPr>
          </w:pPr>
          <w:hyperlink w:anchor="_Toc85228976">
            <w:r>
              <w:rPr>
                <w:webHidden/>
              </w:rPr>
              <w:fldChar w:fldCharType="begin"/>
            </w:r>
            <w:r>
              <w:rPr>
                <w:webHidden/>
              </w:rPr>
              <w:instrText>PAGEREF _Toc85228976 \h</w:instrText>
            </w:r>
            <w:r>
              <w:rPr>
                <w:webHidden/>
              </w:rPr>
              <w:fldChar w:fldCharType="separate"/>
            </w:r>
            <w:r>
              <w:rPr>
                <w:webHidden/>
                <w:rStyle w:val="Czeindeksu"/>
                <w:rFonts w:cs="Times New Roman" w:ascii="Times New Roman" w:hAnsi="Times New Roman"/>
                <w:vanish w:val="false"/>
              </w:rPr>
              <w:t>4.2. Lista inicjatyw planowanych do realizacji w ramach LPRG</w:t>
              <w:tab/>
              <w:t>30</w:t>
            </w:r>
            <w:r>
              <w:rPr>
                <w:webHidden/>
              </w:rPr>
              <w:fldChar w:fldCharType="end"/>
            </w:r>
          </w:hyperlink>
        </w:p>
        <w:p>
          <w:pPr>
            <w:pStyle w:val="Spistreci1"/>
            <w:tabs>
              <w:tab w:val="clear" w:pos="708"/>
              <w:tab w:val="right" w:pos="9062" w:leader="dot"/>
            </w:tabs>
            <w:spacing w:lineRule="auto" w:line="276" w:before="0" w:after="0"/>
            <w:rPr>
              <w:rFonts w:ascii="Times New Roman" w:hAnsi="Times New Roman"/>
            </w:rPr>
          </w:pPr>
          <w:hyperlink w:anchor="_Toc85228977">
            <w:r>
              <w:rPr>
                <w:webHidden/>
              </w:rPr>
              <w:fldChar w:fldCharType="begin"/>
            </w:r>
            <w:r>
              <w:rPr>
                <w:webHidden/>
              </w:rPr>
              <w:instrText>PAGEREF _Toc85228977 \h</w:instrText>
            </w:r>
            <w:r>
              <w:rPr>
                <w:webHidden/>
              </w:rPr>
              <w:fldChar w:fldCharType="separate"/>
            </w:r>
            <w:r>
              <w:rPr>
                <w:webHidden/>
                <w:rStyle w:val="Czeindeksu"/>
                <w:rFonts w:ascii="Times New Roman" w:hAnsi="Times New Roman"/>
                <w:vanish w:val="false"/>
              </w:rPr>
              <w:t>Rozdział 5. Powiązanie Lokalnego Programu Rozwoju Gospodarczego z dokumentami o charakterze strategicznym</w:t>
              <w:tab/>
              <w:t>30</w:t>
            </w:r>
            <w:r>
              <w:rPr>
                <w:webHidden/>
              </w:rPr>
              <w:fldChar w:fldCharType="end"/>
            </w:r>
          </w:hyperlink>
        </w:p>
        <w:p>
          <w:pPr>
            <w:pStyle w:val="Spistreci2"/>
            <w:tabs>
              <w:tab w:val="clear" w:pos="708"/>
              <w:tab w:val="right" w:pos="9062" w:leader="dot"/>
            </w:tabs>
            <w:spacing w:before="0" w:after="0"/>
            <w:rPr>
              <w:rFonts w:ascii="Times New Roman" w:hAnsi="Times New Roman" w:eastAsia="" w:cs="Times New Roman" w:eastAsiaTheme="minorEastAsia"/>
              <w:lang w:eastAsia="pl-PL"/>
            </w:rPr>
          </w:pPr>
          <w:hyperlink w:anchor="_Toc85228978">
            <w:r>
              <w:rPr>
                <w:webHidden/>
              </w:rPr>
              <w:fldChar w:fldCharType="begin"/>
            </w:r>
            <w:r>
              <w:rPr>
                <w:webHidden/>
              </w:rPr>
              <w:instrText>PAGEREF _Toc85228978 \h</w:instrText>
            </w:r>
            <w:r>
              <w:rPr>
                <w:webHidden/>
              </w:rPr>
              <w:fldChar w:fldCharType="separate"/>
            </w:r>
            <w:r>
              <w:rPr>
                <w:webHidden/>
                <w:rStyle w:val="Czeindeksu"/>
                <w:rFonts w:cs="Times New Roman" w:ascii="Times New Roman" w:hAnsi="Times New Roman"/>
                <w:vanish w:val="false"/>
              </w:rPr>
              <w:t>5.1. Powiązania z gminnymi dokumentami strategicznymi</w:t>
              <w:tab/>
              <w:t>30</w:t>
            </w:r>
            <w:r>
              <w:rPr>
                <w:webHidden/>
              </w:rPr>
              <w:fldChar w:fldCharType="end"/>
            </w:r>
          </w:hyperlink>
        </w:p>
        <w:p>
          <w:pPr>
            <w:pStyle w:val="Spistreci2"/>
            <w:tabs>
              <w:tab w:val="clear" w:pos="708"/>
              <w:tab w:val="right" w:pos="9062" w:leader="dot"/>
            </w:tabs>
            <w:spacing w:before="0" w:after="0"/>
            <w:rPr>
              <w:rFonts w:ascii="Times New Roman" w:hAnsi="Times New Roman" w:eastAsia="" w:cs="Times New Roman" w:eastAsiaTheme="minorEastAsia"/>
              <w:lang w:eastAsia="pl-PL"/>
            </w:rPr>
          </w:pPr>
          <w:hyperlink w:anchor="_Toc85228979">
            <w:r>
              <w:rPr>
                <w:webHidden/>
              </w:rPr>
              <w:fldChar w:fldCharType="begin"/>
            </w:r>
            <w:r>
              <w:rPr>
                <w:webHidden/>
              </w:rPr>
              <w:instrText>PAGEREF _Toc85228979 \h</w:instrText>
            </w:r>
            <w:r>
              <w:rPr>
                <w:webHidden/>
              </w:rPr>
              <w:fldChar w:fldCharType="separate"/>
            </w:r>
            <w:r>
              <w:rPr>
                <w:webHidden/>
                <w:rStyle w:val="Czeindeksu"/>
                <w:rFonts w:cs="Times New Roman" w:ascii="Times New Roman" w:hAnsi="Times New Roman"/>
                <w:vanish w:val="false"/>
              </w:rPr>
              <w:t>5.2. Powiązania z dokumentami strategicznymi i działaniami innych gmin</w:t>
              <w:tab/>
              <w:t>32</w:t>
            </w:r>
            <w:r>
              <w:rPr>
                <w:webHidden/>
              </w:rPr>
              <w:fldChar w:fldCharType="end"/>
            </w:r>
          </w:hyperlink>
        </w:p>
        <w:p>
          <w:pPr>
            <w:pStyle w:val="Spistreci1"/>
            <w:tabs>
              <w:tab w:val="clear" w:pos="708"/>
              <w:tab w:val="right" w:pos="9062" w:leader="dot"/>
            </w:tabs>
            <w:spacing w:lineRule="auto" w:line="276" w:before="0" w:after="0"/>
            <w:rPr>
              <w:rFonts w:ascii="Times New Roman" w:hAnsi="Times New Roman"/>
            </w:rPr>
          </w:pPr>
          <w:hyperlink w:anchor="_Toc85228980">
            <w:r>
              <w:rPr>
                <w:webHidden/>
              </w:rPr>
              <w:fldChar w:fldCharType="begin"/>
            </w:r>
            <w:r>
              <w:rPr>
                <w:webHidden/>
              </w:rPr>
              <w:instrText>PAGEREF _Toc85228980 \h</w:instrText>
            </w:r>
            <w:r>
              <w:rPr>
                <w:webHidden/>
              </w:rPr>
              <w:fldChar w:fldCharType="separate"/>
            </w:r>
            <w:r>
              <w:rPr>
                <w:webHidden/>
                <w:rStyle w:val="Czeindeksu"/>
                <w:rFonts w:ascii="Times New Roman" w:hAnsi="Times New Roman"/>
                <w:vanish w:val="false"/>
              </w:rPr>
              <w:t>Rozdział 6. System wdrażania Lokalnego Programu Rozwoju Gospodarczego</w:t>
              <w:tab/>
              <w:t>33</w:t>
            </w:r>
            <w:r>
              <w:rPr>
                <w:webHidden/>
              </w:rPr>
              <w:fldChar w:fldCharType="end"/>
            </w:r>
          </w:hyperlink>
        </w:p>
        <w:p>
          <w:pPr>
            <w:pStyle w:val="Spistreci2"/>
            <w:tabs>
              <w:tab w:val="clear" w:pos="708"/>
              <w:tab w:val="right" w:pos="9062" w:leader="dot"/>
            </w:tabs>
            <w:spacing w:before="0" w:after="0"/>
            <w:rPr>
              <w:rFonts w:ascii="Times New Roman" w:hAnsi="Times New Roman" w:eastAsia="" w:cs="Times New Roman" w:eastAsiaTheme="minorEastAsia"/>
              <w:lang w:eastAsia="pl-PL"/>
            </w:rPr>
          </w:pPr>
          <w:hyperlink w:anchor="_Toc85228981">
            <w:r>
              <w:rPr>
                <w:webHidden/>
              </w:rPr>
              <w:fldChar w:fldCharType="begin"/>
            </w:r>
            <w:r>
              <w:rPr>
                <w:webHidden/>
              </w:rPr>
              <w:instrText>PAGEREF _Toc85228981 \h</w:instrText>
            </w:r>
            <w:r>
              <w:rPr>
                <w:webHidden/>
              </w:rPr>
              <w:fldChar w:fldCharType="separate"/>
            </w:r>
            <w:r>
              <w:rPr>
                <w:webHidden/>
                <w:rStyle w:val="Czeindeksu"/>
                <w:rFonts w:cs="Times New Roman" w:ascii="Times New Roman" w:hAnsi="Times New Roman"/>
                <w:vanish w:val="false"/>
              </w:rPr>
              <w:t>6.1. Analiza instytucjonalna i przyjęcie LPRG</w:t>
              <w:tab/>
              <w:t>33</w:t>
            </w:r>
            <w:r>
              <w:rPr>
                <w:webHidden/>
              </w:rPr>
              <w:fldChar w:fldCharType="end"/>
            </w:r>
          </w:hyperlink>
        </w:p>
        <w:p>
          <w:pPr>
            <w:pStyle w:val="Spistreci2"/>
            <w:tabs>
              <w:tab w:val="clear" w:pos="708"/>
              <w:tab w:val="right" w:pos="9062" w:leader="dot"/>
            </w:tabs>
            <w:spacing w:before="0" w:after="0"/>
            <w:rPr>
              <w:rFonts w:ascii="Times New Roman" w:hAnsi="Times New Roman" w:eastAsia="" w:cs="Times New Roman" w:eastAsiaTheme="minorEastAsia"/>
              <w:lang w:eastAsia="pl-PL"/>
            </w:rPr>
          </w:pPr>
          <w:hyperlink w:anchor="_Toc85228982">
            <w:r>
              <w:rPr>
                <w:webHidden/>
              </w:rPr>
              <w:fldChar w:fldCharType="begin"/>
            </w:r>
            <w:r>
              <w:rPr>
                <w:webHidden/>
              </w:rPr>
              <w:instrText>PAGEREF _Toc85228982 \h</w:instrText>
            </w:r>
            <w:r>
              <w:rPr>
                <w:webHidden/>
              </w:rPr>
              <w:fldChar w:fldCharType="separate"/>
            </w:r>
            <w:r>
              <w:rPr>
                <w:webHidden/>
                <w:rStyle w:val="Czeindeksu"/>
                <w:rFonts w:cs="Times New Roman" w:ascii="Times New Roman" w:hAnsi="Times New Roman"/>
                <w:vanish w:val="false"/>
              </w:rPr>
              <w:t>6.2. Prognoza finansowa wdrożenia LPRG</w:t>
              <w:tab/>
              <w:t>36</w:t>
            </w:r>
            <w:r>
              <w:rPr>
                <w:webHidden/>
              </w:rPr>
              <w:fldChar w:fldCharType="end"/>
            </w:r>
          </w:hyperlink>
        </w:p>
        <w:p>
          <w:pPr>
            <w:pStyle w:val="Spistreci2"/>
            <w:tabs>
              <w:tab w:val="clear" w:pos="708"/>
              <w:tab w:val="right" w:pos="9062" w:leader="dot"/>
            </w:tabs>
            <w:spacing w:before="0" w:after="0"/>
            <w:rPr>
              <w:rFonts w:ascii="Times New Roman" w:hAnsi="Times New Roman" w:eastAsia="" w:cs="Times New Roman" w:eastAsiaTheme="minorEastAsia"/>
              <w:lang w:eastAsia="pl-PL"/>
            </w:rPr>
          </w:pPr>
          <w:hyperlink w:anchor="_Toc85228983">
            <w:r>
              <w:rPr>
                <w:webHidden/>
              </w:rPr>
              <w:fldChar w:fldCharType="begin"/>
            </w:r>
            <w:r>
              <w:rPr>
                <w:webHidden/>
              </w:rPr>
              <w:instrText>PAGEREF _Toc85228983 \h</w:instrText>
            </w:r>
            <w:r>
              <w:rPr>
                <w:webHidden/>
              </w:rPr>
              <w:fldChar w:fldCharType="separate"/>
            </w:r>
            <w:r>
              <w:rPr>
                <w:webHidden/>
                <w:rStyle w:val="Czeindeksu"/>
                <w:rFonts w:cs="Times New Roman" w:ascii="Times New Roman" w:hAnsi="Times New Roman"/>
                <w:vanish w:val="false"/>
              </w:rPr>
              <w:t>5.3. Monitorowanie wdrażania LPRG</w:t>
              <w:tab/>
              <w:t>39</w:t>
            </w:r>
            <w:r>
              <w:rPr>
                <w:webHidden/>
              </w:rPr>
              <w:fldChar w:fldCharType="end"/>
            </w:r>
          </w:hyperlink>
        </w:p>
        <w:p>
          <w:pPr>
            <w:pStyle w:val="Spistreci1"/>
            <w:tabs>
              <w:tab w:val="clear" w:pos="708"/>
              <w:tab w:val="right" w:pos="9062" w:leader="dot"/>
            </w:tabs>
            <w:spacing w:lineRule="auto" w:line="276" w:before="0" w:after="0"/>
            <w:rPr>
              <w:rFonts w:ascii="Times New Roman" w:hAnsi="Times New Roman"/>
            </w:rPr>
          </w:pPr>
          <w:hyperlink w:anchor="_Toc85228984">
            <w:r>
              <w:rPr>
                <w:webHidden/>
              </w:rPr>
              <w:fldChar w:fldCharType="begin"/>
            </w:r>
            <w:r>
              <w:rPr>
                <w:webHidden/>
              </w:rPr>
              <w:instrText>PAGEREF _Toc85228984 \h</w:instrText>
            </w:r>
            <w:r>
              <w:rPr>
                <w:webHidden/>
              </w:rPr>
              <w:fldChar w:fldCharType="separate"/>
            </w:r>
            <w:r>
              <w:rPr>
                <w:webHidden/>
                <w:rStyle w:val="Czeindeksu"/>
                <w:rFonts w:ascii="Times New Roman" w:hAnsi="Times New Roman"/>
                <w:vanish w:val="false"/>
              </w:rPr>
              <w:t>Załącznik 1. Lista przykładowych inicjatyw planowanych do realizacji w ramach LPRG</w:t>
              <w:tab/>
              <w:t>41</w:t>
            </w:r>
            <w:r>
              <w:rPr>
                <w:webHidden/>
              </w:rPr>
              <w:fldChar w:fldCharType="end"/>
            </w:r>
          </w:hyperlink>
        </w:p>
        <w:p>
          <w:pPr>
            <w:pStyle w:val="Spistreci2"/>
            <w:tabs>
              <w:tab w:val="clear" w:pos="708"/>
              <w:tab w:val="right" w:pos="9062" w:leader="dot"/>
            </w:tabs>
            <w:spacing w:before="0" w:after="0"/>
            <w:rPr>
              <w:rFonts w:ascii="Times New Roman" w:hAnsi="Times New Roman" w:eastAsia="" w:cs="Times New Roman" w:eastAsiaTheme="minorEastAsia"/>
              <w:lang w:eastAsia="pl-PL"/>
            </w:rPr>
          </w:pPr>
          <w:hyperlink w:anchor="_Toc85228985">
            <w:r>
              <w:rPr>
                <w:webHidden/>
                <w:rStyle w:val="Czeindeksu"/>
                <w:rFonts w:cs="Times New Roman" w:ascii="Times New Roman" w:hAnsi="Times New Roman"/>
                <w:bCs/>
                <w:vanish w:val="false"/>
              </w:rPr>
              <w:t xml:space="preserve">Projekt 1. </w:t>
            </w:r>
            <w:r>
              <w:rPr>
                <w:rStyle w:val="Czeindeksu"/>
                <w:rFonts w:cs="Times New Roman" w:ascii="Times New Roman" w:hAnsi="Times New Roman"/>
              </w:rPr>
              <w:t>Przeciwdziałanie wykluczeniu społecznemu – aktywizacja zawodowa</w:t>
            </w:r>
            <w:r>
              <w:rPr>
                <w:webHidden/>
              </w:rPr>
              <w:fldChar w:fldCharType="begin"/>
            </w:r>
            <w:r>
              <w:rPr>
                <w:webHidden/>
              </w:rPr>
              <w:instrText>PAGEREF _Toc85228985 \h</w:instrText>
            </w:r>
            <w:r>
              <w:rPr>
                <w:webHidden/>
              </w:rPr>
              <w:fldChar w:fldCharType="separate"/>
            </w:r>
            <w:r>
              <w:rPr>
                <w:rStyle w:val="Czeindeksu"/>
                <w:rFonts w:cs="Times New Roman" w:ascii="Times New Roman" w:hAnsi="Times New Roman"/>
                <w:vanish w:val="false"/>
              </w:rPr>
              <w:tab/>
              <w:t>41</w:t>
            </w:r>
            <w:r>
              <w:rPr>
                <w:webHidden/>
              </w:rPr>
              <w:fldChar w:fldCharType="end"/>
            </w:r>
          </w:hyperlink>
        </w:p>
        <w:p>
          <w:pPr>
            <w:pStyle w:val="Spistreci2"/>
            <w:tabs>
              <w:tab w:val="clear" w:pos="708"/>
              <w:tab w:val="right" w:pos="9062" w:leader="dot"/>
            </w:tabs>
            <w:spacing w:before="0" w:after="0"/>
            <w:rPr>
              <w:rFonts w:ascii="Times New Roman" w:hAnsi="Times New Roman" w:eastAsia="" w:cs="Times New Roman" w:eastAsiaTheme="minorEastAsia"/>
              <w:lang w:eastAsia="pl-PL"/>
            </w:rPr>
          </w:pPr>
          <w:hyperlink w:anchor="_Toc85228986">
            <w:r>
              <w:rPr>
                <w:webHidden/>
                <w:rStyle w:val="Czeindeksu"/>
                <w:rFonts w:cs="Times New Roman" w:ascii="Times New Roman" w:hAnsi="Times New Roman"/>
                <w:bCs/>
                <w:vanish w:val="false"/>
              </w:rPr>
              <w:t xml:space="preserve">Projekt 2. </w:t>
            </w:r>
            <w:r>
              <w:rPr>
                <w:rStyle w:val="Czeindeksu"/>
                <w:rFonts w:cs="Times New Roman" w:ascii="Times New Roman" w:hAnsi="Times New Roman"/>
              </w:rPr>
              <w:t>Utworzenie Lokalnej Organizacji Gospodarczej na terenie Gminy Choceń</w:t>
            </w:r>
            <w:r>
              <w:rPr>
                <w:webHidden/>
              </w:rPr>
              <w:fldChar w:fldCharType="begin"/>
            </w:r>
            <w:r>
              <w:rPr>
                <w:webHidden/>
              </w:rPr>
              <w:instrText>PAGEREF _Toc85228986 \h</w:instrText>
            </w:r>
            <w:r>
              <w:rPr>
                <w:webHidden/>
              </w:rPr>
              <w:fldChar w:fldCharType="separate"/>
            </w:r>
            <w:r>
              <w:rPr>
                <w:rStyle w:val="Czeindeksu"/>
                <w:rFonts w:cs="Times New Roman" w:ascii="Times New Roman" w:hAnsi="Times New Roman"/>
                <w:vanish w:val="false"/>
              </w:rPr>
              <w:tab/>
              <w:t>42</w:t>
            </w:r>
            <w:r>
              <w:rPr>
                <w:webHidden/>
              </w:rPr>
              <w:fldChar w:fldCharType="end"/>
            </w:r>
          </w:hyperlink>
        </w:p>
        <w:p>
          <w:pPr>
            <w:pStyle w:val="Spistreci2"/>
            <w:tabs>
              <w:tab w:val="clear" w:pos="708"/>
              <w:tab w:val="right" w:pos="9062" w:leader="dot"/>
            </w:tabs>
            <w:spacing w:before="0" w:after="0"/>
            <w:rPr>
              <w:rFonts w:ascii="Times New Roman" w:hAnsi="Times New Roman" w:eastAsia="" w:cs="Times New Roman" w:eastAsiaTheme="minorEastAsia"/>
              <w:lang w:eastAsia="pl-PL"/>
            </w:rPr>
          </w:pPr>
          <w:hyperlink w:anchor="_Toc85228987">
            <w:r>
              <w:rPr>
                <w:webHidden/>
              </w:rPr>
              <w:fldChar w:fldCharType="begin"/>
            </w:r>
            <w:r>
              <w:rPr>
                <w:webHidden/>
              </w:rPr>
              <w:instrText>PAGEREF _Toc85228987 \h</w:instrText>
            </w:r>
            <w:r>
              <w:rPr>
                <w:webHidden/>
              </w:rPr>
              <w:fldChar w:fldCharType="separate"/>
            </w:r>
            <w:r>
              <w:rPr>
                <w:webHidden/>
                <w:rStyle w:val="Czeindeksu"/>
                <w:rFonts w:cs="Times New Roman" w:ascii="Times New Roman" w:hAnsi="Times New Roman"/>
                <w:vanish w:val="false"/>
              </w:rPr>
              <w:t>Projekt 3. Rozwój infrastruktury sportowo - rekreacyjnej</w:t>
              <w:tab/>
              <w:t>45</w:t>
            </w:r>
            <w:r>
              <w:rPr>
                <w:webHidden/>
              </w:rPr>
              <w:fldChar w:fldCharType="end"/>
            </w:r>
          </w:hyperlink>
        </w:p>
        <w:p>
          <w:pPr>
            <w:pStyle w:val="Spistreci2"/>
            <w:tabs>
              <w:tab w:val="clear" w:pos="708"/>
              <w:tab w:val="right" w:pos="9062" w:leader="dot"/>
            </w:tabs>
            <w:spacing w:before="0" w:after="0"/>
            <w:rPr>
              <w:rFonts w:ascii="Times New Roman" w:hAnsi="Times New Roman" w:eastAsia="" w:cs="Times New Roman" w:eastAsiaTheme="minorEastAsia"/>
              <w:lang w:eastAsia="pl-PL"/>
            </w:rPr>
          </w:pPr>
          <w:hyperlink w:anchor="_Toc85228988">
            <w:r>
              <w:rPr>
                <w:webHidden/>
              </w:rPr>
              <w:fldChar w:fldCharType="begin"/>
            </w:r>
            <w:r>
              <w:rPr>
                <w:webHidden/>
              </w:rPr>
              <w:instrText>PAGEREF _Toc85228988 \h</w:instrText>
            </w:r>
            <w:r>
              <w:rPr>
                <w:webHidden/>
              </w:rPr>
              <w:fldChar w:fldCharType="separate"/>
            </w:r>
            <w:r>
              <w:rPr>
                <w:webHidden/>
                <w:rStyle w:val="Czeindeksu"/>
                <w:rFonts w:cs="Times New Roman" w:ascii="Times New Roman" w:hAnsi="Times New Roman"/>
                <w:vanish w:val="false"/>
              </w:rPr>
              <w:t>Projekt 4. Promocja samozatrudnienia w gminie Choceń – Punkt wspierania przedsiębiorczości</w:t>
              <w:tab/>
              <w:t>46</w:t>
            </w:r>
            <w:r>
              <w:rPr>
                <w:webHidden/>
              </w:rPr>
              <w:fldChar w:fldCharType="end"/>
            </w:r>
          </w:hyperlink>
        </w:p>
        <w:p>
          <w:pPr>
            <w:pStyle w:val="Spistreci2"/>
            <w:tabs>
              <w:tab w:val="clear" w:pos="708"/>
              <w:tab w:val="right" w:pos="9062" w:leader="dot"/>
            </w:tabs>
            <w:spacing w:before="0" w:after="0"/>
            <w:rPr>
              <w:rFonts w:ascii="Times New Roman" w:hAnsi="Times New Roman" w:eastAsia="" w:cs="Times New Roman" w:eastAsiaTheme="minorEastAsia"/>
              <w:lang w:eastAsia="pl-PL"/>
            </w:rPr>
          </w:pPr>
          <w:hyperlink w:anchor="_Toc85228989">
            <w:r>
              <w:rPr>
                <w:webHidden/>
              </w:rPr>
              <w:fldChar w:fldCharType="begin"/>
            </w:r>
            <w:r>
              <w:rPr>
                <w:webHidden/>
              </w:rPr>
              <w:instrText>PAGEREF _Toc85228989 \h</w:instrText>
            </w:r>
            <w:r>
              <w:rPr>
                <w:webHidden/>
              </w:rPr>
              <w:fldChar w:fldCharType="separate"/>
            </w:r>
            <w:r>
              <w:rPr>
                <w:webHidden/>
                <w:rStyle w:val="Czeindeksu"/>
                <w:rFonts w:cs="Times New Roman" w:ascii="Times New Roman" w:hAnsi="Times New Roman"/>
                <w:vanish w:val="false"/>
              </w:rPr>
              <w:t>Projekt 5. Wspierania kształcenia dostosowanego do potrzeb lokalnego rynku</w:t>
              <w:tab/>
              <w:t>48</w:t>
            </w:r>
            <w:r>
              <w:rPr>
                <w:webHidden/>
              </w:rPr>
              <w:fldChar w:fldCharType="end"/>
            </w:r>
          </w:hyperlink>
        </w:p>
        <w:p>
          <w:pPr>
            <w:pStyle w:val="Spistreci2"/>
            <w:tabs>
              <w:tab w:val="clear" w:pos="708"/>
              <w:tab w:val="right" w:pos="9062" w:leader="dot"/>
            </w:tabs>
            <w:spacing w:before="0" w:after="0"/>
            <w:rPr>
              <w:rFonts w:ascii="Times New Roman" w:hAnsi="Times New Roman" w:eastAsia="" w:cs="Times New Roman" w:eastAsiaTheme="minorEastAsia"/>
              <w:lang w:eastAsia="pl-PL"/>
            </w:rPr>
          </w:pPr>
          <w:hyperlink w:anchor="_Toc85228990">
            <w:r>
              <w:rPr>
                <w:webHidden/>
              </w:rPr>
              <w:fldChar w:fldCharType="begin"/>
            </w:r>
            <w:r>
              <w:rPr>
                <w:webHidden/>
              </w:rPr>
              <w:instrText>PAGEREF _Toc85228990 \h</w:instrText>
            </w:r>
            <w:r>
              <w:rPr>
                <w:webHidden/>
              </w:rPr>
              <w:fldChar w:fldCharType="separate"/>
            </w:r>
            <w:r>
              <w:rPr>
                <w:webHidden/>
                <w:rStyle w:val="Czeindeksu"/>
                <w:rFonts w:cs="Times New Roman" w:ascii="Times New Roman" w:hAnsi="Times New Roman"/>
                <w:vanish w:val="false"/>
              </w:rPr>
              <w:t>Projekt 6. Rozwój infrastruktury wodno-ściekowej na terenie gminy Choceń</w:t>
              <w:tab/>
              <w:t>50</w:t>
            </w:r>
            <w:r>
              <w:rPr>
                <w:webHidden/>
              </w:rPr>
              <w:fldChar w:fldCharType="end"/>
            </w:r>
          </w:hyperlink>
        </w:p>
        <w:p>
          <w:pPr>
            <w:pStyle w:val="Spistreci1"/>
            <w:tabs>
              <w:tab w:val="clear" w:pos="708"/>
              <w:tab w:val="right" w:pos="9062" w:leader="dot"/>
            </w:tabs>
            <w:spacing w:lineRule="auto" w:line="276" w:before="0" w:after="0"/>
            <w:rPr>
              <w:rFonts w:ascii="Times New Roman" w:hAnsi="Times New Roman"/>
            </w:rPr>
          </w:pPr>
          <w:hyperlink w:anchor="_Toc85228991">
            <w:r>
              <w:rPr>
                <w:webHidden/>
              </w:rPr>
              <w:fldChar w:fldCharType="begin"/>
            </w:r>
            <w:r>
              <w:rPr>
                <w:webHidden/>
              </w:rPr>
              <w:instrText>PAGEREF _Toc85228991 \h</w:instrText>
            </w:r>
            <w:r>
              <w:rPr>
                <w:webHidden/>
              </w:rPr>
              <w:fldChar w:fldCharType="separate"/>
            </w:r>
            <w:r>
              <w:rPr>
                <w:webHidden/>
                <w:rStyle w:val="Czeindeksu"/>
                <w:rFonts w:ascii="Times New Roman" w:hAnsi="Times New Roman"/>
                <w:vanish w:val="false"/>
              </w:rPr>
              <w:t>Załącznik 2. Lista i oferta wojewódzkich organizacji wspomagających sektor MSP</w:t>
              <w:tab/>
              <w:t>52</w:t>
            </w:r>
            <w:r>
              <w:rPr>
                <w:webHidden/>
              </w:rPr>
              <w:fldChar w:fldCharType="end"/>
            </w:r>
          </w:hyperlink>
        </w:p>
        <w:p>
          <w:pPr>
            <w:pStyle w:val="Normal"/>
            <w:spacing w:before="0" w:after="0"/>
            <w:rPr>
              <w:rFonts w:ascii="Times New Roman" w:hAnsi="Times New Roman" w:cs="Times New Roman"/>
            </w:rPr>
          </w:pPr>
          <w:r>
            <w:rPr>
              <w:rFonts w:cs="Times New Roman" w:ascii="Times New Roman" w:hAnsi="Times New Roman"/>
            </w:rPr>
          </w:r>
          <w:r>
            <w:rPr>
              <w:rFonts w:cs="Times New Roman" w:ascii="Times New Roman" w:hAnsi="Times New Roman"/>
            </w:rPr>
            <w:fldChar w:fldCharType="end"/>
          </w:r>
        </w:p>
      </w:sdtContent>
    </w:sdt>
    <w:p>
      <w:pPr>
        <w:pStyle w:val="Normal"/>
        <w:spacing w:lineRule="auto" w:line="360" w:before="0" w:after="0"/>
        <w:jc w:val="both"/>
        <w:rPr>
          <w:rFonts w:ascii="Times New Roman" w:hAnsi="Times New Roman" w:cs="Times New Roman"/>
        </w:rPr>
      </w:pPr>
      <w:r>
        <w:rPr>
          <w:rFonts w:cs="Times New Roman" w:ascii="Times New Roman" w:hAnsi="Times New Roman"/>
        </w:rPr>
      </w:r>
    </w:p>
    <w:p>
      <w:pPr>
        <w:pStyle w:val="Normal"/>
        <w:spacing w:lineRule="auto" w:line="360" w:before="0" w:after="0"/>
        <w:jc w:val="both"/>
        <w:rPr>
          <w:rFonts w:ascii="Times New Roman" w:hAnsi="Times New Roman" w:cs="Times New Roman"/>
        </w:rPr>
      </w:pPr>
      <w:r>
        <w:rPr>
          <w:rFonts w:cs="Times New Roman" w:ascii="Times New Roman" w:hAnsi="Times New Roman"/>
        </w:rPr>
      </w:r>
    </w:p>
    <w:p>
      <w:pPr>
        <w:pStyle w:val="Normal"/>
        <w:spacing w:lineRule="auto" w:line="360" w:before="0" w:after="0"/>
        <w:jc w:val="both"/>
        <w:rPr>
          <w:rFonts w:ascii="Times New Roman" w:hAnsi="Times New Roman" w:cs="Times New Roman"/>
        </w:rPr>
      </w:pPr>
      <w:r>
        <w:rPr>
          <w:rFonts w:cs="Times New Roman" w:ascii="Times New Roman" w:hAnsi="Times New Roman"/>
        </w:rPr>
      </w:r>
    </w:p>
    <w:p>
      <w:pPr>
        <w:pStyle w:val="Normal"/>
        <w:spacing w:lineRule="auto" w:line="360" w:before="0" w:after="0"/>
        <w:jc w:val="both"/>
        <w:rPr>
          <w:rFonts w:ascii="Times New Roman" w:hAnsi="Times New Roman" w:cs="Times New Roman"/>
        </w:rPr>
      </w:pPr>
      <w:r>
        <w:rPr>
          <w:rFonts w:cs="Times New Roman" w:ascii="Times New Roman" w:hAnsi="Times New Roman"/>
        </w:rPr>
      </w:r>
    </w:p>
    <w:p>
      <w:pPr>
        <w:pStyle w:val="Normal"/>
        <w:spacing w:lineRule="auto" w:line="360" w:before="0" w:after="0"/>
        <w:jc w:val="both"/>
        <w:rPr>
          <w:rFonts w:ascii="Times New Roman" w:hAnsi="Times New Roman" w:cs="Times New Roman"/>
        </w:rPr>
      </w:pPr>
      <w:r>
        <w:rPr>
          <w:rFonts w:cs="Times New Roman" w:ascii="Times New Roman" w:hAnsi="Times New Roman"/>
        </w:rPr>
      </w:r>
    </w:p>
    <w:p>
      <w:pPr>
        <w:pStyle w:val="Nagwek1"/>
        <w:spacing w:lineRule="auto" w:line="360"/>
        <w:rPr>
          <w:rFonts w:ascii="Times New Roman" w:hAnsi="Times New Roman" w:cs="Times New Roman"/>
          <w:color w:val="auto"/>
        </w:rPr>
      </w:pPr>
      <w:bookmarkStart w:id="0" w:name="_Toc85228955"/>
      <w:r>
        <w:rPr>
          <w:rFonts w:cs="Times New Roman" w:ascii="Times New Roman" w:hAnsi="Times New Roman"/>
          <w:color w:val="auto"/>
        </w:rPr>
        <w:t>Wstęp</w:t>
      </w:r>
      <w:bookmarkEnd w:id="0"/>
    </w:p>
    <w:p>
      <w:pPr>
        <w:pStyle w:val="Normal"/>
        <w:spacing w:lineRule="auto" w:line="360" w:before="0" w:after="0"/>
        <w:ind w:firstLine="720"/>
        <w:contextualSpacing/>
        <w:jc w:val="both"/>
        <w:rPr>
          <w:rFonts w:ascii="Times New Roman" w:hAnsi="Times New Roman" w:cs="Times New Roman"/>
        </w:rPr>
      </w:pPr>
      <w:r>
        <w:rPr>
          <w:rFonts w:cs="Times New Roman" w:ascii="Times New Roman" w:hAnsi="Times New Roman"/>
        </w:rPr>
      </w:r>
    </w:p>
    <w:p>
      <w:pPr>
        <w:pStyle w:val="Normal"/>
        <w:spacing w:lineRule="auto" w:line="360" w:before="0" w:after="0"/>
        <w:ind w:firstLine="720"/>
        <w:contextualSpacing/>
        <w:jc w:val="both"/>
        <w:rPr>
          <w:rFonts w:ascii="Times New Roman" w:hAnsi="Times New Roman" w:cs="Times New Roman"/>
        </w:rPr>
      </w:pPr>
      <w:r>
        <w:rPr>
          <w:rFonts w:cs="Times New Roman" w:ascii="Times New Roman" w:hAnsi="Times New Roman"/>
        </w:rPr>
        <w:t xml:space="preserve">Lokalny Program Rozwoju Gospodarczego Gminy Choceń jest dokumentem opracowanym na potrzeby podmiotów działających na jej terenie oraz mieszkańców. Program określa główne cele i kierunki rozwoju gminy, uwzględniając potrzeby lokalnych przedsiębiorców. Program ujmuje główne cele i uwarunkowania gminy na przestrzeni kilku lat w zmieniających się warunkach wewnętrznych i zewnętrznych, przy czynnym uczestnictwie podmiotów publicznych i prywatnych, które są istotnymi uczestnikami jej realizacji. Jest dokumentem, dzięki któremu, władze samorządowe będą mogły racjonalnie organizować swoje przyszłe działania. Założenia zawarte w Lokalnym Programie Rozwoju Gospodarczego stanowią podstawę do prowadzenia przez władze gminy długookresowej polityki rozwoju społeczno-gospodarczego. Wokół ustaleń  LPRG skupiać będą  się kierunki działań władz samorządowych, które zmierzają do zapewnienia jak najlepszych warunków życia mieszkańców oraz tworzenia korzystnych uwarunkowań dla dalszego rozwoju gospodarczego gminy. Podstawową funkcją Lokalnego Programu Rozwoju Gospodarczego jest z jednej strony dostarczenie informacji mieszkańcom, podmiotom gospodarczym oraz potencjalnym inwestorom o długookresowych uwarunkowaniach rozwoju i sposobach rozwiązywania problemów społeczno-gospodarczych na terenie gminy. Z drugiej strony jest zobowiązaniem władz do podjęcia określonych przedsięwzięć i działań zmierzających do kompleksowego rozwoju gminy. Niniejszy dokument oprócz Strategii Rozwoju  gminy Choceń na lata 2020-2030 ma znaczenie priorytetowe dla rozwoju gminy. Określa obecny potencjał rozwojowy, jak również to, co jest możliwe do osiągnięcia w perspektywie najbliższych lat. Głównym celem programu jest umożliwienie efektywnego rozwoju obszaru gminy zgodnie z przyjętymi założeniami. Bardzo ważnym czynnikiem uzasadniającym potrzebę opracowania nowego dokumentu strategicznego jest zapewnienie spójności ze strategicznymi dokumentami na szczeblu lokalnym, regionalnym i krajowym.  Kolejną przesłanką opracowania LPRG jest chęć dalszego rozwoju społeczno gospodarczego całego obszaru gminy Choceń, poprzez podejmowanie nowych wyzwań i realizowanie zaplanowanych priorytetów. Niniejsze opracowanie obejmuje diagnozę sytuacji społeczno-gospodarczej Gminy Choceń, dokonaną na podstawie analizy danych pozyskanych z Głównego Urzędu Statystycznego, Powiatowego Urzędu Pracy oraz dokumentów przygotowanych przez zespół projektu Regiogmina analizę SWOT kierunki rozwoju a także procedury monitoringu i ewaluacji LPRG.. </w:t>
      </w:r>
    </w:p>
    <w:p>
      <w:pPr>
        <w:pStyle w:val="Normal"/>
        <w:spacing w:lineRule="auto" w:line="360" w:before="0" w:after="0"/>
        <w:ind w:firstLine="720"/>
        <w:contextualSpacing/>
        <w:jc w:val="both"/>
        <w:rPr>
          <w:rFonts w:ascii="Times New Roman" w:hAnsi="Times New Roman" w:cs="Times New Roman"/>
        </w:rPr>
      </w:pPr>
      <w:r>
        <w:rPr>
          <w:rFonts w:cs="Times New Roman" w:ascii="Times New Roman" w:hAnsi="Times New Roman"/>
        </w:rPr>
        <w:t xml:space="preserve">W polityce lokalnej w zakresie tworzenia warunków sprzyjających rozwojowi już istniejących podmiotów, jak i pozyskiwania nowych inwestorów należy uwzględniać te elementy, w które obszar został wyposażony (naturalnie lub przez wypracowanie określonych rozwiązań). Te rozwiązania mogą zostać wykreowane lub ulepszone (np. infrastruktura, polityka podatkowa, jakość i szybkość obsługi w urzędach, współpraca między władzami a inwestorami). Każda jednostka samorządowa, prowadząc określoną politykę, dąży do uzyskania przewagi konkurencyjnej pod względem atrakcyjności inwestycyjnej. Pozyskiwanie przedsiębiorców i powstawanie nowych inwestycji przekłada się bowiem bezpośrednio na zwiększanie dochodów budżetowych gminy, a zwłaszcza dochodów własnych, z których można finansować zadania służące rozwojowi lokalnej społeczności. </w:t>
      </w:r>
    </w:p>
    <w:p>
      <w:pPr>
        <w:pStyle w:val="Normal"/>
        <w:spacing w:lineRule="auto" w:line="360" w:before="0" w:after="0"/>
        <w:ind w:firstLine="720"/>
        <w:contextualSpacing/>
        <w:jc w:val="both"/>
        <w:rPr>
          <w:rFonts w:ascii="Times New Roman" w:hAnsi="Times New Roman" w:cs="Times New Roman"/>
        </w:rPr>
      </w:pPr>
      <w:r>
        <w:rPr>
          <w:rFonts w:cs="Times New Roman" w:ascii="Times New Roman" w:hAnsi="Times New Roman"/>
        </w:rPr>
        <w:t>Dane źródłowe do dokumentu powstały jako efekt współpracy gminy z zewnętrznymi ekspertami reprezentującymi zarówno środowiska akademickie (min. Szkoły Głównej Handlowej w Warszawie, Uniwersytetu Mikołaja Kopernika oraz Wyższej Szkoły Gospodarki w Bydgoszczy), jak i przedstawicieli instytucji otoczenia biznesu (min. Toruńskiej Agencji Rozwoju Regionalnego). Konsultacje prowadzono od kwietnia do października 2021 roku. Zadbano o aktualność informacji przedstawionych w diagnozie oraz zaproponowano instrumenty lub przykładowe inicjatywy. Niniejszy dokument służy przede wszystkim wytyczeniu jasnej i przejrzystej ścieżki długofalowych, kompleksowych działań dążących do całościowego, równomiernego rozwoju podmiotów gospodarczych mających siedzibę i prowadzących działalność na obszarze Gminy. Ścieżka tego rozwoju uwzględnia zarówno własny potencjał obszaru, jak i sytuacje zachodzące i mogące zajść w sferach niezależnych od działań Gminy. Jak każdy dokument planistyczny, tak i niniejszy Program Rozwoju Gospodarczego analizuje i ocenia aktualną sytuację, identyfikuje aktualne problemy, diagnozuje potrzeby lokalnej społeczności (przede wszystkim przedsiębiorców jako głównych interesariuszy LPRG) oraz określa kierunki działań zmierzających do poprawy stanu istniejącego. Sformułowanie w tym dokumencie cele strategiczne oraz propozycje konkretnych działań pozwolą w nadchodzącym okresie programowania na skoncentrowanie środków i zasobów na najważniejszych działaniach, które zapewnią osiągnięcie założonej wizji gminy w zakresie rozwoju gospodarczego.</w:t>
      </w:r>
      <w:bookmarkStart w:id="1" w:name="_GoBack"/>
      <w:bookmarkEnd w:id="1"/>
    </w:p>
    <w:p>
      <w:pPr>
        <w:pStyle w:val="Nagwek1"/>
        <w:spacing w:lineRule="auto" w:line="360"/>
        <w:rPr>
          <w:rFonts w:ascii="Times New Roman" w:hAnsi="Times New Roman" w:cs="Times New Roman"/>
          <w:color w:val="auto"/>
        </w:rPr>
      </w:pPr>
      <w:bookmarkStart w:id="2" w:name="_Toc85228956"/>
      <w:r>
        <w:rPr>
          <w:rFonts w:cs="Times New Roman" w:ascii="Times New Roman" w:hAnsi="Times New Roman"/>
          <w:color w:val="auto"/>
        </w:rPr>
        <w:t>Rozdział 1. Diagnoza sytuacji gospodarczej w gminie Choceń</w:t>
      </w:r>
      <w:bookmarkEnd w:id="2"/>
    </w:p>
    <w:p>
      <w:pPr>
        <w:pStyle w:val="Nagwek2"/>
        <w:rPr>
          <w:rFonts w:ascii="Times New Roman" w:hAnsi="Times New Roman" w:cs="Times New Roman"/>
        </w:rPr>
      </w:pPr>
      <w:bookmarkStart w:id="3" w:name="_Toc85228957"/>
      <w:bookmarkStart w:id="4" w:name="_Toc70257471"/>
      <w:r>
        <w:rPr>
          <w:rFonts w:cs="Times New Roman" w:ascii="Times New Roman" w:hAnsi="Times New Roman"/>
        </w:rPr>
        <w:t>Podstawowe informacje o gminie i sytuacji demograficznej</w:t>
      </w:r>
      <w:bookmarkEnd w:id="3"/>
      <w:bookmarkEnd w:id="4"/>
    </w:p>
    <w:p>
      <w:pPr>
        <w:pStyle w:val="Caption"/>
        <w:spacing w:lineRule="auto" w:line="360" w:before="0" w:after="0"/>
        <w:jc w:val="both"/>
        <w:rPr>
          <w:rFonts w:ascii="Times New Roman" w:hAnsi="Times New Roman" w:cs="Times New Roman"/>
          <w:color w:val="auto"/>
        </w:rPr>
      </w:pPr>
      <w:r>
        <w:rPr>
          <w:rFonts w:cs="Times New Roman" w:ascii="Times New Roman" w:hAnsi="Times New Roman"/>
          <w:color w:val="auto"/>
        </w:rPr>
      </w:r>
    </w:p>
    <w:p>
      <w:pPr>
        <w:pStyle w:val="Caption"/>
        <w:spacing w:lineRule="auto" w:line="360" w:before="0" w:after="0"/>
        <w:ind w:firstLine="720"/>
        <w:jc w:val="both"/>
        <w:rPr>
          <w:rFonts w:ascii="Times New Roman" w:hAnsi="Times New Roman" w:cs="Times New Roman"/>
          <w:color w:val="auto"/>
        </w:rPr>
      </w:pPr>
      <w:r>
        <w:rPr>
          <w:rFonts w:cs="Times New Roman" w:ascii="Times New Roman" w:hAnsi="Times New Roman"/>
          <w:color w:val="auto"/>
        </w:rPr>
        <w:t>Gmina Choceń położona jest w południowo-wschodniej części województwa kujawsko-pomorskiego, na obszarze powiatu ziemskiego włocławskiego. Siedzibą gminy jest miejscowość Choceń, która w strukturze usług gminnych i ponadgminnych odgrywa znaczącą rolę, jako siedziba gminy.</w:t>
      </w:r>
    </w:p>
    <w:p>
      <w:pPr>
        <w:pStyle w:val="Caption"/>
        <w:spacing w:lineRule="auto" w:line="360" w:before="0" w:after="0"/>
        <w:ind w:firstLine="720"/>
        <w:jc w:val="both"/>
        <w:rPr>
          <w:rFonts w:ascii="Times New Roman" w:hAnsi="Times New Roman" w:cs="Times New Roman"/>
          <w:color w:val="auto"/>
        </w:rPr>
      </w:pPr>
      <w:r>
        <w:rPr>
          <w:rFonts w:cs="Times New Roman" w:ascii="Times New Roman" w:hAnsi="Times New Roman"/>
          <w:color w:val="auto"/>
        </w:rPr>
        <w:t>Wewnętrzną strukturę administracyjną powiatu ziemskiego włocławskiego tworzy 13 jednostek samorządowych, wśród których znajduje się:</w:t>
      </w:r>
    </w:p>
    <w:p>
      <w:pPr>
        <w:pStyle w:val="Caption"/>
        <w:numPr>
          <w:ilvl w:val="0"/>
          <w:numId w:val="23"/>
        </w:numPr>
        <w:suppressAutoHyphens w:val="true"/>
        <w:spacing w:lineRule="auto" w:line="360" w:before="0" w:after="0"/>
        <w:jc w:val="both"/>
        <w:textAlignment w:val="baseline"/>
        <w:rPr>
          <w:rFonts w:ascii="Times New Roman" w:hAnsi="Times New Roman" w:cs="Times New Roman"/>
          <w:color w:val="auto"/>
        </w:rPr>
      </w:pPr>
      <w:r>
        <w:rPr>
          <w:rFonts w:cs="Times New Roman" w:ascii="Times New Roman" w:hAnsi="Times New Roman"/>
          <w:color w:val="auto"/>
        </w:rPr>
        <w:t>jedna gmina o statusie miejskim - Kowal,</w:t>
      </w:r>
    </w:p>
    <w:p>
      <w:pPr>
        <w:pStyle w:val="Caption"/>
        <w:numPr>
          <w:ilvl w:val="0"/>
          <w:numId w:val="79"/>
        </w:numPr>
        <w:suppressAutoHyphens w:val="true"/>
        <w:spacing w:lineRule="auto" w:line="360" w:before="0" w:after="0"/>
        <w:jc w:val="both"/>
        <w:textAlignment w:val="baseline"/>
        <w:rPr>
          <w:rFonts w:ascii="Times New Roman" w:hAnsi="Times New Roman" w:cs="Times New Roman"/>
          <w:color w:val="auto"/>
        </w:rPr>
      </w:pPr>
      <w:r>
        <w:rPr>
          <w:rFonts w:cs="Times New Roman" w:ascii="Times New Roman" w:hAnsi="Times New Roman"/>
          <w:color w:val="auto"/>
        </w:rPr>
        <w:t>pięć gmin o statusie miejsko-wiejskim, tj. Brześć Kujawski, Lubraniec, Chodecz, Lubień Kujawski, Izbica Kujawska,</w:t>
      </w:r>
    </w:p>
    <w:p>
      <w:pPr>
        <w:pStyle w:val="Caption"/>
        <w:numPr>
          <w:ilvl w:val="0"/>
          <w:numId w:val="80"/>
        </w:numPr>
        <w:suppressAutoHyphens w:val="true"/>
        <w:spacing w:lineRule="auto" w:line="360" w:before="0" w:after="0"/>
        <w:jc w:val="both"/>
        <w:textAlignment w:val="baseline"/>
        <w:rPr>
          <w:rFonts w:ascii="Times New Roman" w:hAnsi="Times New Roman" w:cs="Times New Roman"/>
          <w:color w:val="auto"/>
        </w:rPr>
      </w:pPr>
      <w:r>
        <w:rPr>
          <w:rFonts w:cs="Times New Roman" w:ascii="Times New Roman" w:hAnsi="Times New Roman"/>
          <w:color w:val="auto"/>
        </w:rPr>
        <w:t>siedem gmin o statusie wiejskim, tj. Choceń, Baruchowo, Boniewo, Fabianki, Kowal, Lubanie, Włocławek.</w:t>
      </w:r>
    </w:p>
    <w:p>
      <w:pPr>
        <w:pStyle w:val="Caption"/>
        <w:spacing w:lineRule="auto" w:line="360" w:before="0" w:after="0"/>
        <w:jc w:val="both"/>
        <w:rPr>
          <w:rFonts w:ascii="Times New Roman" w:hAnsi="Times New Roman" w:cs="Times New Roman"/>
          <w:color w:val="auto"/>
        </w:rPr>
      </w:pPr>
      <w:r>
        <w:rPr>
          <w:rFonts w:cs="Times New Roman" w:ascii="Times New Roman" w:hAnsi="Times New Roman"/>
          <w:color w:val="auto"/>
        </w:rPr>
        <w:t xml:space="preserve">             </w:t>
      </w:r>
      <w:r>
        <w:rPr>
          <w:rFonts w:cs="Times New Roman" w:ascii="Times New Roman" w:hAnsi="Times New Roman"/>
          <w:color w:val="auto"/>
        </w:rPr>
        <w:t>W układzie przestrzennym obszar gminy graniczy:</w:t>
      </w:r>
    </w:p>
    <w:p>
      <w:pPr>
        <w:pStyle w:val="Caption"/>
        <w:numPr>
          <w:ilvl w:val="0"/>
          <w:numId w:val="24"/>
        </w:numPr>
        <w:suppressAutoHyphens w:val="true"/>
        <w:spacing w:lineRule="auto" w:line="360" w:before="0" w:after="0"/>
        <w:jc w:val="both"/>
        <w:textAlignment w:val="baseline"/>
        <w:rPr>
          <w:rFonts w:ascii="Times New Roman" w:hAnsi="Times New Roman" w:cs="Times New Roman"/>
          <w:color w:val="auto"/>
        </w:rPr>
      </w:pPr>
      <w:r>
        <w:rPr>
          <w:rFonts w:cs="Times New Roman" w:ascii="Times New Roman" w:hAnsi="Times New Roman"/>
          <w:color w:val="auto"/>
        </w:rPr>
        <w:t>od północy z gminą Włocławek,</w:t>
      </w:r>
    </w:p>
    <w:p>
      <w:pPr>
        <w:pStyle w:val="Caption"/>
        <w:numPr>
          <w:ilvl w:val="0"/>
          <w:numId w:val="81"/>
        </w:numPr>
        <w:suppressAutoHyphens w:val="true"/>
        <w:spacing w:lineRule="auto" w:line="360" w:before="0" w:after="0"/>
        <w:jc w:val="both"/>
        <w:textAlignment w:val="baseline"/>
        <w:rPr>
          <w:rFonts w:ascii="Times New Roman" w:hAnsi="Times New Roman" w:cs="Times New Roman"/>
          <w:color w:val="auto"/>
        </w:rPr>
      </w:pPr>
      <w:r>
        <w:rPr>
          <w:rFonts w:cs="Times New Roman" w:ascii="Times New Roman" w:hAnsi="Times New Roman"/>
          <w:color w:val="auto"/>
        </w:rPr>
        <w:t>od wschodu z gminą Kowal,</w:t>
      </w:r>
    </w:p>
    <w:p>
      <w:pPr>
        <w:pStyle w:val="Caption"/>
        <w:numPr>
          <w:ilvl w:val="0"/>
          <w:numId w:val="82"/>
        </w:numPr>
        <w:suppressAutoHyphens w:val="true"/>
        <w:spacing w:lineRule="auto" w:line="360" w:before="0" w:after="0"/>
        <w:jc w:val="both"/>
        <w:textAlignment w:val="baseline"/>
        <w:rPr>
          <w:rFonts w:ascii="Times New Roman" w:hAnsi="Times New Roman" w:cs="Times New Roman"/>
          <w:color w:val="auto"/>
        </w:rPr>
      </w:pPr>
      <w:r>
        <w:rPr>
          <w:rFonts w:cs="Times New Roman" w:ascii="Times New Roman" w:hAnsi="Times New Roman"/>
          <w:color w:val="auto"/>
        </w:rPr>
        <w:t>od południowego - wschodu z gminą Lubień Kujawski,</w:t>
      </w:r>
    </w:p>
    <w:p>
      <w:pPr>
        <w:pStyle w:val="Caption"/>
        <w:numPr>
          <w:ilvl w:val="0"/>
          <w:numId w:val="83"/>
        </w:numPr>
        <w:suppressAutoHyphens w:val="true"/>
        <w:spacing w:lineRule="auto" w:line="360" w:before="0" w:after="0"/>
        <w:jc w:val="both"/>
        <w:textAlignment w:val="baseline"/>
        <w:rPr>
          <w:rFonts w:ascii="Times New Roman" w:hAnsi="Times New Roman" w:cs="Times New Roman"/>
          <w:color w:val="auto"/>
        </w:rPr>
      </w:pPr>
      <w:r>
        <w:rPr>
          <w:rFonts w:cs="Times New Roman" w:ascii="Times New Roman" w:hAnsi="Times New Roman"/>
          <w:color w:val="auto"/>
        </w:rPr>
        <w:t>od południa z gminą Chodecz,</w:t>
      </w:r>
    </w:p>
    <w:p>
      <w:pPr>
        <w:pStyle w:val="Caption"/>
        <w:numPr>
          <w:ilvl w:val="0"/>
          <w:numId w:val="84"/>
        </w:numPr>
        <w:suppressAutoHyphens w:val="true"/>
        <w:spacing w:lineRule="auto" w:line="360" w:before="0" w:after="0"/>
        <w:jc w:val="both"/>
        <w:textAlignment w:val="baseline"/>
        <w:rPr>
          <w:rFonts w:ascii="Times New Roman" w:hAnsi="Times New Roman" w:cs="Times New Roman"/>
          <w:color w:val="auto"/>
        </w:rPr>
      </w:pPr>
      <w:r>
        <w:rPr>
          <w:rFonts w:cs="Times New Roman" w:ascii="Times New Roman" w:hAnsi="Times New Roman"/>
          <w:color w:val="auto"/>
        </w:rPr>
        <w:t>od zachodu z gminami Boniewo i Lubraniec.</w:t>
      </w:r>
    </w:p>
    <w:p>
      <w:pPr>
        <w:pStyle w:val="Standard"/>
        <w:spacing w:lineRule="auto" w:line="360"/>
        <w:rPr>
          <w:rFonts w:ascii="Times New Roman" w:hAnsi="Times New Roman" w:cs="Times New Roman"/>
          <w:sz w:val="22"/>
          <w:szCs w:val="22"/>
        </w:rPr>
      </w:pPr>
      <w:r>
        <w:rPr>
          <w:rFonts w:cs="Times New Roman" w:ascii="Times New Roman" w:hAnsi="Times New Roman"/>
          <w:sz w:val="22"/>
          <w:szCs w:val="22"/>
        </w:rPr>
      </w:r>
    </w:p>
    <w:p>
      <w:pPr>
        <w:pStyle w:val="Standard"/>
        <w:spacing w:lineRule="auto" w:line="360"/>
        <w:ind w:firstLine="720"/>
        <w:jc w:val="both"/>
        <w:rPr>
          <w:rFonts w:ascii="Times New Roman" w:hAnsi="Times New Roman" w:cs="Times New Roman"/>
          <w:sz w:val="22"/>
          <w:szCs w:val="22"/>
        </w:rPr>
      </w:pPr>
      <w:r>
        <w:rPr>
          <w:rFonts w:cs="Times New Roman" w:ascii="Times New Roman" w:hAnsi="Times New Roman"/>
          <w:sz w:val="22"/>
          <w:szCs w:val="22"/>
        </w:rPr>
        <w:t>Całkowita powierzchnia gminy wynosi 9.987 ha, co stanowi 6,78% powierzchni całego powiatu włocławskiego i 0,56% powierzchni województwa kujawsko-pomorskiego. Użytki rolne na koniec 2019 r. zajmują powierzchnię 8326 ha, co stanowi 83,37 % ogólnej powierzchni gminy, a lasy, zadrzewienia i zakrzewienia to 153 ha (w tym lasy 134 ha), co stanowi 1,5 % powierzchni gminy. Największy kompleks leśny znajduje się we wschodniej części gminy, wokół jeziora Lutoborskiego.</w:t>
      </w:r>
    </w:p>
    <w:p>
      <w:pPr>
        <w:pStyle w:val="Standard"/>
        <w:spacing w:lineRule="auto" w:line="360"/>
        <w:ind w:firstLine="720"/>
        <w:jc w:val="both"/>
        <w:rPr>
          <w:rFonts w:ascii="Times New Roman" w:hAnsi="Times New Roman" w:cs="Times New Roman"/>
          <w:sz w:val="22"/>
          <w:szCs w:val="22"/>
        </w:rPr>
      </w:pPr>
      <w:r>
        <w:rPr>
          <w:rFonts w:cs="Times New Roman" w:ascii="Times New Roman" w:hAnsi="Times New Roman"/>
          <w:sz w:val="22"/>
          <w:szCs w:val="22"/>
        </w:rPr>
        <w:t>Jeziora na terenie Gminy Choceń zajmują powierzchnię 358 ha. Największym z nich jest jezioro Borzymowskie zajmujące powierzchnię 209 ha. Poza tym na terenie gminy znajdują się jeziora Ługowskie, Krukowskie i Szczutkowskie, a także otoczone lasami jezioro Lutoborskie. Jeziora stanowią 3,6% powierzchni gminy.</w:t>
      </w:r>
    </w:p>
    <w:p>
      <w:pPr>
        <w:pStyle w:val="Standard"/>
        <w:spacing w:lineRule="auto" w:line="360"/>
        <w:ind w:firstLine="720"/>
        <w:jc w:val="both"/>
        <w:rPr>
          <w:rFonts w:ascii="Times New Roman" w:hAnsi="Times New Roman" w:cs="Times New Roman"/>
          <w:sz w:val="22"/>
          <w:szCs w:val="22"/>
        </w:rPr>
      </w:pPr>
      <w:r>
        <w:rPr>
          <w:rFonts w:cs="Times New Roman" w:ascii="Times New Roman" w:hAnsi="Times New Roman"/>
          <w:sz w:val="22"/>
          <w:szCs w:val="22"/>
        </w:rPr>
        <w:t>W wewnętrznym podziale administracyjnym gmina dzieli się na 28 jednostek sołeckich z 37 miejscowościami (Bodzanowo, Bodzanówek, Borzymie, Borzymowice, Choceń, Czerniewice, Filipki, Gajówka, Grabówka, Janowo, Jarantowice, Krukowo, Księża Kępka, Kuźnice, Lijewo, Lutobórz, Nakonowo Stare, Niemojewo, Nowa Wola, Olganowo, Siewiersk, Skibice, Stefanowo, Szatki, Szczutkowo, Szczytno, Wichrowice, Wilkowice, Wilkowiczki, Wola Nakonowska, Zapust, Ząbin, Łopatki, Ługowiska, Śmiłowice, Śmiłowice Pustki, Świerkowo).</w:t>
      </w:r>
    </w:p>
    <w:p>
      <w:pPr>
        <w:pStyle w:val="Standard"/>
        <w:spacing w:lineRule="auto" w:line="360"/>
        <w:jc w:val="both"/>
        <w:rPr>
          <w:rFonts w:ascii="Times New Roman" w:hAnsi="Times New Roman" w:cs="Times New Roman"/>
          <w:sz w:val="22"/>
          <w:szCs w:val="22"/>
        </w:rPr>
      </w:pPr>
      <w:r>
        <w:rPr>
          <w:rFonts w:cs="Times New Roman" w:ascii="Times New Roman" w:hAnsi="Times New Roman"/>
          <w:sz w:val="22"/>
          <w:szCs w:val="22"/>
        </w:rPr>
      </w:r>
    </w:p>
    <w:p>
      <w:pPr>
        <w:pStyle w:val="Caption"/>
        <w:spacing w:lineRule="auto" w:line="360" w:before="0" w:after="0"/>
        <w:rPr>
          <w:rFonts w:ascii="Times New Roman" w:hAnsi="Times New Roman" w:cs="Times New Roman"/>
          <w:color w:val="auto"/>
        </w:rPr>
      </w:pPr>
      <w:r>
        <w:rPr>
          <w:rFonts w:cs="Times New Roman" w:ascii="Times New Roman" w:hAnsi="Times New Roman"/>
          <w:color w:val="auto"/>
        </w:rPr>
        <w:t>Rysunek 1. Lokalizacja Gminy Choceń w powiecie włocławskim</w:t>
      </w:r>
    </w:p>
    <w:p>
      <w:pPr>
        <w:pStyle w:val="Caption"/>
        <w:spacing w:lineRule="auto" w:line="360" w:before="0" w:after="0"/>
        <w:jc w:val="center"/>
        <w:rPr>
          <w:rFonts w:ascii="Times New Roman" w:hAnsi="Times New Roman" w:cs="Times New Roman"/>
          <w:color w:val="auto"/>
        </w:rPr>
      </w:pPr>
      <w:r>
        <w:rPr/>
        <w:drawing>
          <wp:inline distT="0" distB="0" distL="0" distR="0">
            <wp:extent cx="3790950" cy="3143250"/>
            <wp:effectExtent l="0" t="0" r="0" b="0"/>
            <wp:docPr id="4" name="Obraz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8" descr=""/>
                    <pic:cNvPicPr>
                      <a:picLocks noChangeAspect="1" noChangeArrowheads="1"/>
                    </pic:cNvPicPr>
                  </pic:nvPicPr>
                  <pic:blipFill>
                    <a:blip r:embed="rId5"/>
                    <a:stretch>
                      <a:fillRect/>
                    </a:stretch>
                  </pic:blipFill>
                  <pic:spPr bwMode="auto">
                    <a:xfrm>
                      <a:off x="0" y="0"/>
                      <a:ext cx="3790950" cy="3143250"/>
                    </a:xfrm>
                    <a:prstGeom prst="rect">
                      <a:avLst/>
                    </a:prstGeom>
                  </pic:spPr>
                </pic:pic>
              </a:graphicData>
            </a:graphic>
          </wp:inline>
        </w:drawing>
      </w:r>
    </w:p>
    <w:p>
      <w:pPr>
        <w:pStyle w:val="Standard"/>
        <w:spacing w:lineRule="auto" w:line="360"/>
        <w:rPr>
          <w:rFonts w:ascii="Times New Roman" w:hAnsi="Times New Roman" w:cs="Times New Roman"/>
          <w:sz w:val="22"/>
          <w:szCs w:val="22"/>
        </w:rPr>
      </w:pPr>
      <w:r>
        <w:rPr>
          <w:rFonts w:cs="Times New Roman" w:ascii="Times New Roman" w:hAnsi="Times New Roman"/>
          <w:sz w:val="22"/>
          <w:szCs w:val="22"/>
        </w:rPr>
      </w:r>
    </w:p>
    <w:p>
      <w:pPr>
        <w:pStyle w:val="Caption"/>
        <w:spacing w:lineRule="auto" w:line="360" w:before="0" w:after="0"/>
        <w:rPr>
          <w:rFonts w:ascii="Times New Roman" w:hAnsi="Times New Roman" w:cs="Times New Roman"/>
          <w:color w:val="auto"/>
        </w:rPr>
      </w:pPr>
      <w:r>
        <w:rPr>
          <w:rFonts w:cs="Times New Roman" w:ascii="Times New Roman" w:hAnsi="Times New Roman"/>
          <w:color w:val="auto"/>
        </w:rPr>
        <w:t>Rysunek 2. Struktura powierzchni w gminie (w %)</w:t>
      </w:r>
    </w:p>
    <w:p>
      <w:pPr>
        <w:pStyle w:val="Standard"/>
        <w:spacing w:lineRule="auto" w:line="360"/>
        <w:jc w:val="center"/>
        <w:rPr>
          <w:rFonts w:ascii="Times New Roman" w:hAnsi="Times New Roman" w:cs="Times New Roman"/>
          <w:sz w:val="22"/>
          <w:szCs w:val="22"/>
        </w:rPr>
      </w:pPr>
      <w:r>
        <w:rPr/>
        <w:drawing>
          <wp:inline distT="0" distB="0" distL="0" distR="0">
            <wp:extent cx="5733415" cy="3689985"/>
            <wp:effectExtent l="0" t="0" r="0" b="0"/>
            <wp:docPr id="5" name="Obraz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
                    <pic:cNvPicPr>
                      <a:picLocks noChangeAspect="1" noChangeArrowheads="1"/>
                    </pic:cNvPicPr>
                  </pic:nvPicPr>
                  <pic:blipFill>
                    <a:blip r:embed="rId6"/>
                    <a:stretch>
                      <a:fillRect/>
                    </a:stretch>
                  </pic:blipFill>
                  <pic:spPr bwMode="auto">
                    <a:xfrm>
                      <a:off x="0" y="0"/>
                      <a:ext cx="5733415" cy="3689985"/>
                    </a:xfrm>
                    <a:prstGeom prst="rect">
                      <a:avLst/>
                    </a:prstGeom>
                  </pic:spPr>
                </pic:pic>
              </a:graphicData>
            </a:graphic>
          </wp:inline>
        </w:drawing>
      </w:r>
    </w:p>
    <w:p>
      <w:pPr>
        <w:pStyle w:val="Standard"/>
        <w:spacing w:lineRule="auto" w:line="360"/>
        <w:jc w:val="both"/>
        <w:rPr>
          <w:rFonts w:ascii="Times New Roman" w:hAnsi="Times New Roman" w:eastAsia="Calibri" w:cs="Times New Roman"/>
          <w:sz w:val="22"/>
          <w:szCs w:val="22"/>
        </w:rPr>
      </w:pPr>
      <w:r>
        <w:rPr>
          <w:rFonts w:eastAsia="Calibri" w:cs="Times New Roman" w:ascii="Times New Roman" w:hAnsi="Times New Roman"/>
          <w:sz w:val="22"/>
          <w:szCs w:val="22"/>
        </w:rPr>
        <w:t>Źródło: Bank Danych Lokalnych GUS.</w:t>
      </w:r>
    </w:p>
    <w:p>
      <w:pPr>
        <w:pStyle w:val="Standard"/>
        <w:spacing w:lineRule="auto" w:line="360"/>
        <w:jc w:val="both"/>
        <w:rPr>
          <w:rFonts w:ascii="Times New Roman" w:hAnsi="Times New Roman" w:eastAsia="Calibri" w:cs="Times New Roman"/>
          <w:sz w:val="22"/>
          <w:szCs w:val="22"/>
        </w:rPr>
      </w:pPr>
      <w:r>
        <w:rPr>
          <w:rFonts w:eastAsia="Calibri" w:cs="Times New Roman" w:ascii="Times New Roman" w:hAnsi="Times New Roman"/>
          <w:sz w:val="22"/>
          <w:szCs w:val="22"/>
        </w:rPr>
      </w:r>
    </w:p>
    <w:p>
      <w:pPr>
        <w:pStyle w:val="Caption"/>
        <w:spacing w:lineRule="auto" w:line="360" w:before="0" w:after="0"/>
        <w:rPr>
          <w:rFonts w:ascii="Times New Roman" w:hAnsi="Times New Roman" w:cs="Times New Roman"/>
          <w:color w:val="auto"/>
        </w:rPr>
      </w:pPr>
      <w:r>
        <w:rPr>
          <w:rFonts w:cs="Times New Roman" w:ascii="Times New Roman" w:hAnsi="Times New Roman"/>
          <w:color w:val="auto"/>
        </w:rPr>
        <w:t>Tabela 1. Podstawowe dane demograficzne dla gminy</w:t>
      </w:r>
    </w:p>
    <w:tbl>
      <w:tblPr>
        <w:tblW w:w="8784" w:type="dxa"/>
        <w:jc w:val="left"/>
        <w:tblInd w:w="5" w:type="dxa"/>
        <w:tblLayout w:type="fixed"/>
        <w:tblCellMar>
          <w:top w:w="0" w:type="dxa"/>
          <w:left w:w="70" w:type="dxa"/>
          <w:bottom w:w="0" w:type="dxa"/>
          <w:right w:w="70" w:type="dxa"/>
        </w:tblCellMar>
        <w:tblLook w:firstRow="1" w:noVBand="1" w:lastRow="0" w:firstColumn="1" w:lastColumn="0" w:noHBand="0" w:val="04a0"/>
      </w:tblPr>
      <w:tblGrid>
        <w:gridCol w:w="2737"/>
        <w:gridCol w:w="1221"/>
        <w:gridCol w:w="1610"/>
        <w:gridCol w:w="1605"/>
        <w:gridCol w:w="1611"/>
      </w:tblGrid>
      <w:tr>
        <w:trPr>
          <w:trHeight w:val="320" w:hRule="atLeast"/>
        </w:trPr>
        <w:tc>
          <w:tcPr>
            <w:tcW w:w="3958"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Standard"/>
              <w:widowControl w:val="false"/>
              <w:spacing w:lineRule="auto" w:line="360"/>
              <w:jc w:val="center"/>
              <w:rPr>
                <w:rFonts w:ascii="Times New Roman" w:hAnsi="Times New Roman" w:cs="Times New Roman"/>
                <w:b/>
                <w:b/>
                <w:bCs/>
                <w:sz w:val="22"/>
                <w:szCs w:val="22"/>
              </w:rPr>
            </w:pPr>
            <w:r>
              <w:rPr>
                <w:rFonts w:cs="Times New Roman" w:ascii="Times New Roman" w:hAnsi="Times New Roman"/>
                <w:b/>
                <w:bCs/>
                <w:sz w:val="22"/>
                <w:szCs w:val="22"/>
              </w:rPr>
              <w:t>Rok/Wyszczególnienie</w:t>
            </w:r>
          </w:p>
        </w:tc>
        <w:tc>
          <w:tcPr>
            <w:tcW w:w="1610" w:type="dxa"/>
            <w:tcBorders>
              <w:top w:val="single" w:sz="4" w:space="0" w:color="000000"/>
              <w:bottom w:val="single" w:sz="4" w:space="0" w:color="000000"/>
              <w:right w:val="single" w:sz="4" w:space="0" w:color="000000"/>
            </w:tcBorders>
            <w:shd w:color="auto" w:fill="auto" w:val="clear"/>
            <w:vAlign w:val="bottom"/>
          </w:tcPr>
          <w:p>
            <w:pPr>
              <w:pStyle w:val="Standard"/>
              <w:widowControl w:val="false"/>
              <w:spacing w:lineRule="auto" w:line="360"/>
              <w:jc w:val="center"/>
              <w:rPr>
                <w:rFonts w:ascii="Times New Roman" w:hAnsi="Times New Roman" w:cs="Times New Roman"/>
                <w:b/>
                <w:b/>
                <w:bCs/>
                <w:sz w:val="22"/>
                <w:szCs w:val="22"/>
              </w:rPr>
            </w:pPr>
            <w:r>
              <w:rPr>
                <w:rFonts w:cs="Times New Roman" w:ascii="Times New Roman" w:hAnsi="Times New Roman"/>
                <w:b/>
                <w:bCs/>
                <w:sz w:val="22"/>
                <w:szCs w:val="22"/>
              </w:rPr>
              <w:t>2017</w:t>
            </w:r>
          </w:p>
        </w:tc>
        <w:tc>
          <w:tcPr>
            <w:tcW w:w="1605" w:type="dxa"/>
            <w:tcBorders>
              <w:top w:val="single" w:sz="4" w:space="0" w:color="000000"/>
              <w:bottom w:val="single" w:sz="4" w:space="0" w:color="000000"/>
              <w:right w:val="single" w:sz="4" w:space="0" w:color="000000"/>
            </w:tcBorders>
            <w:shd w:color="auto" w:fill="auto" w:val="clear"/>
            <w:vAlign w:val="bottom"/>
          </w:tcPr>
          <w:p>
            <w:pPr>
              <w:pStyle w:val="Standard"/>
              <w:widowControl w:val="false"/>
              <w:spacing w:lineRule="auto" w:line="360"/>
              <w:jc w:val="center"/>
              <w:rPr>
                <w:rFonts w:ascii="Times New Roman" w:hAnsi="Times New Roman" w:cs="Times New Roman"/>
                <w:b/>
                <w:b/>
                <w:bCs/>
                <w:sz w:val="22"/>
                <w:szCs w:val="22"/>
              </w:rPr>
            </w:pPr>
            <w:r>
              <w:rPr>
                <w:rFonts w:cs="Times New Roman" w:ascii="Times New Roman" w:hAnsi="Times New Roman"/>
                <w:b/>
                <w:bCs/>
                <w:sz w:val="22"/>
                <w:szCs w:val="22"/>
              </w:rPr>
              <w:t>2018</w:t>
            </w:r>
          </w:p>
        </w:tc>
        <w:tc>
          <w:tcPr>
            <w:tcW w:w="1611" w:type="dxa"/>
            <w:tcBorders>
              <w:top w:val="single" w:sz="4" w:space="0" w:color="000000"/>
              <w:bottom w:val="single" w:sz="4" w:space="0" w:color="000000"/>
              <w:right w:val="single" w:sz="4" w:space="0" w:color="000000"/>
            </w:tcBorders>
            <w:shd w:color="auto" w:fill="auto" w:val="clear"/>
            <w:vAlign w:val="bottom"/>
          </w:tcPr>
          <w:p>
            <w:pPr>
              <w:pStyle w:val="Standard"/>
              <w:widowControl w:val="false"/>
              <w:spacing w:lineRule="auto" w:line="360"/>
              <w:jc w:val="center"/>
              <w:rPr>
                <w:rFonts w:ascii="Times New Roman" w:hAnsi="Times New Roman" w:cs="Times New Roman"/>
                <w:b/>
                <w:b/>
                <w:bCs/>
                <w:sz w:val="22"/>
                <w:szCs w:val="22"/>
              </w:rPr>
            </w:pPr>
            <w:r>
              <w:rPr>
                <w:rFonts w:cs="Times New Roman" w:ascii="Times New Roman" w:hAnsi="Times New Roman"/>
                <w:b/>
                <w:bCs/>
                <w:sz w:val="22"/>
                <w:szCs w:val="22"/>
              </w:rPr>
              <w:t>2019</w:t>
            </w:r>
          </w:p>
        </w:tc>
      </w:tr>
      <w:tr>
        <w:trPr>
          <w:trHeight w:val="320" w:hRule="atLeast"/>
        </w:trPr>
        <w:tc>
          <w:tcPr>
            <w:tcW w:w="2737" w:type="dxa"/>
            <w:tcBorders>
              <w:left w:val="single" w:sz="4" w:space="0" w:color="000000"/>
              <w:bottom w:val="single" w:sz="4" w:space="0" w:color="000000"/>
              <w:right w:val="single" w:sz="4" w:space="0" w:color="000000"/>
            </w:tcBorders>
            <w:shd w:color="auto" w:fill="FFF2CC" w:val="clear"/>
            <w:vAlign w:val="bottom"/>
          </w:tcPr>
          <w:p>
            <w:pPr>
              <w:pStyle w:val="Standard"/>
              <w:widowControl w:val="false"/>
              <w:spacing w:lineRule="auto" w:line="360"/>
              <w:jc w:val="both"/>
              <w:rPr>
                <w:rFonts w:ascii="Times New Roman" w:hAnsi="Times New Roman" w:cs="Times New Roman"/>
                <w:sz w:val="22"/>
                <w:szCs w:val="22"/>
              </w:rPr>
            </w:pPr>
            <w:r>
              <w:rPr>
                <w:rFonts w:cs="Times New Roman" w:ascii="Times New Roman" w:hAnsi="Times New Roman"/>
                <w:sz w:val="22"/>
                <w:szCs w:val="22"/>
              </w:rPr>
              <w:t>Ludność ogółem</w:t>
            </w:r>
          </w:p>
        </w:tc>
        <w:tc>
          <w:tcPr>
            <w:tcW w:w="1221" w:type="dxa"/>
            <w:tcBorders>
              <w:bottom w:val="single" w:sz="4" w:space="0" w:color="000000"/>
              <w:right w:val="single" w:sz="4" w:space="0" w:color="000000"/>
            </w:tcBorders>
            <w:shd w:color="auto" w:fill="auto" w:val="clear"/>
            <w:vAlign w:val="bottom"/>
          </w:tcPr>
          <w:p>
            <w:pPr>
              <w:pStyle w:val="Standard"/>
              <w:widowControl w:val="false"/>
              <w:spacing w:lineRule="auto" w:line="360"/>
              <w:jc w:val="both"/>
              <w:rPr>
                <w:rFonts w:ascii="Times New Roman" w:hAnsi="Times New Roman" w:cs="Times New Roman"/>
                <w:sz w:val="22"/>
                <w:szCs w:val="22"/>
              </w:rPr>
            </w:pPr>
            <w:r>
              <w:rPr>
                <w:rFonts w:cs="Times New Roman" w:ascii="Times New Roman" w:hAnsi="Times New Roman"/>
                <w:sz w:val="22"/>
                <w:szCs w:val="22"/>
              </w:rPr>
              <w:t>liczba osób</w:t>
            </w:r>
          </w:p>
        </w:tc>
        <w:tc>
          <w:tcPr>
            <w:tcW w:w="1610" w:type="dxa"/>
            <w:tcBorders>
              <w:bottom w:val="single" w:sz="4" w:space="0" w:color="000000"/>
              <w:right w:val="single" w:sz="4" w:space="0" w:color="000000"/>
            </w:tcBorders>
            <w:shd w:color="auto" w:fill="auto" w:val="clea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8 022</w:t>
            </w:r>
          </w:p>
        </w:tc>
        <w:tc>
          <w:tcPr>
            <w:tcW w:w="1605" w:type="dxa"/>
            <w:tcBorders>
              <w:bottom w:val="single" w:sz="4" w:space="0" w:color="000000"/>
              <w:right w:val="single" w:sz="4" w:space="0" w:color="000000"/>
            </w:tcBorders>
            <w:shd w:color="auto" w:fill="auto" w:val="clea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7 961</w:t>
            </w:r>
          </w:p>
        </w:tc>
        <w:tc>
          <w:tcPr>
            <w:tcW w:w="1611" w:type="dxa"/>
            <w:tcBorders>
              <w:bottom w:val="single" w:sz="4" w:space="0" w:color="000000"/>
              <w:right w:val="single" w:sz="4" w:space="0" w:color="000000"/>
            </w:tcBorders>
            <w:shd w:color="auto" w:fill="auto" w:val="clea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7 977</w:t>
            </w:r>
          </w:p>
        </w:tc>
      </w:tr>
      <w:tr>
        <w:trPr>
          <w:trHeight w:val="320" w:hRule="atLeast"/>
        </w:trPr>
        <w:tc>
          <w:tcPr>
            <w:tcW w:w="2737" w:type="dxa"/>
            <w:tcBorders>
              <w:left w:val="single" w:sz="4" w:space="0" w:color="000000"/>
              <w:bottom w:val="single" w:sz="4" w:space="0" w:color="000000"/>
              <w:right w:val="single" w:sz="4" w:space="0" w:color="000000"/>
            </w:tcBorders>
            <w:shd w:color="auto" w:fill="FFF2CC" w:val="clear"/>
            <w:vAlign w:val="bottom"/>
          </w:tcPr>
          <w:p>
            <w:pPr>
              <w:pStyle w:val="Standard"/>
              <w:widowControl w:val="false"/>
              <w:spacing w:lineRule="auto" w:line="360"/>
              <w:jc w:val="both"/>
              <w:rPr>
                <w:rFonts w:ascii="Times New Roman" w:hAnsi="Times New Roman" w:cs="Times New Roman"/>
                <w:sz w:val="22"/>
                <w:szCs w:val="22"/>
              </w:rPr>
            </w:pPr>
            <w:r>
              <w:rPr>
                <w:rFonts w:cs="Times New Roman" w:ascii="Times New Roman" w:hAnsi="Times New Roman"/>
                <w:sz w:val="22"/>
                <w:szCs w:val="22"/>
              </w:rPr>
              <w:t>Mężczyźni</w:t>
            </w:r>
          </w:p>
        </w:tc>
        <w:tc>
          <w:tcPr>
            <w:tcW w:w="1221" w:type="dxa"/>
            <w:tcBorders>
              <w:bottom w:val="single" w:sz="4" w:space="0" w:color="000000"/>
              <w:right w:val="single" w:sz="4" w:space="0" w:color="000000"/>
            </w:tcBorders>
            <w:shd w:color="auto" w:fill="auto" w:val="clear"/>
            <w:vAlign w:val="bottom"/>
          </w:tcPr>
          <w:p>
            <w:pPr>
              <w:pStyle w:val="Standard"/>
              <w:widowControl w:val="false"/>
              <w:spacing w:lineRule="auto" w:line="360"/>
              <w:jc w:val="both"/>
              <w:rPr>
                <w:rFonts w:ascii="Times New Roman" w:hAnsi="Times New Roman" w:cs="Times New Roman"/>
                <w:sz w:val="22"/>
                <w:szCs w:val="22"/>
              </w:rPr>
            </w:pPr>
            <w:r>
              <w:rPr>
                <w:rFonts w:cs="Times New Roman" w:ascii="Times New Roman" w:hAnsi="Times New Roman"/>
                <w:sz w:val="22"/>
                <w:szCs w:val="22"/>
              </w:rPr>
              <w:t>liczba osób</w:t>
            </w:r>
          </w:p>
        </w:tc>
        <w:tc>
          <w:tcPr>
            <w:tcW w:w="1610" w:type="dxa"/>
            <w:tcBorders>
              <w:bottom w:val="single" w:sz="4" w:space="0" w:color="000000"/>
              <w:right w:val="single" w:sz="4" w:space="0" w:color="000000"/>
            </w:tcBorders>
            <w:shd w:color="auto" w:fill="auto" w:val="clea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4 002</w:t>
            </w:r>
          </w:p>
        </w:tc>
        <w:tc>
          <w:tcPr>
            <w:tcW w:w="1605" w:type="dxa"/>
            <w:tcBorders>
              <w:bottom w:val="single" w:sz="4" w:space="0" w:color="000000"/>
              <w:right w:val="single" w:sz="4" w:space="0" w:color="000000"/>
            </w:tcBorders>
            <w:shd w:color="auto" w:fill="auto" w:val="clea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3 984</w:t>
            </w:r>
          </w:p>
        </w:tc>
        <w:tc>
          <w:tcPr>
            <w:tcW w:w="1611" w:type="dxa"/>
            <w:tcBorders>
              <w:bottom w:val="single" w:sz="4" w:space="0" w:color="000000"/>
              <w:right w:val="single" w:sz="4" w:space="0" w:color="000000"/>
            </w:tcBorders>
            <w:shd w:color="auto" w:fill="auto" w:val="clea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3 980</w:t>
            </w:r>
          </w:p>
        </w:tc>
      </w:tr>
      <w:tr>
        <w:trPr>
          <w:trHeight w:val="320" w:hRule="atLeast"/>
        </w:trPr>
        <w:tc>
          <w:tcPr>
            <w:tcW w:w="2737" w:type="dxa"/>
            <w:tcBorders>
              <w:left w:val="single" w:sz="4" w:space="0" w:color="000000"/>
              <w:bottom w:val="single" w:sz="4" w:space="0" w:color="000000"/>
              <w:right w:val="single" w:sz="4" w:space="0" w:color="000000"/>
            </w:tcBorders>
            <w:shd w:color="auto" w:fill="FFF2CC" w:val="clear"/>
            <w:vAlign w:val="bottom"/>
          </w:tcPr>
          <w:p>
            <w:pPr>
              <w:pStyle w:val="Standard"/>
              <w:widowControl w:val="false"/>
              <w:spacing w:lineRule="auto" w:line="360"/>
              <w:jc w:val="both"/>
              <w:rPr>
                <w:rFonts w:ascii="Times New Roman" w:hAnsi="Times New Roman" w:cs="Times New Roman"/>
                <w:sz w:val="22"/>
                <w:szCs w:val="22"/>
              </w:rPr>
            </w:pPr>
            <w:r>
              <w:rPr>
                <w:rFonts w:cs="Times New Roman" w:ascii="Times New Roman" w:hAnsi="Times New Roman"/>
                <w:sz w:val="22"/>
                <w:szCs w:val="22"/>
              </w:rPr>
              <w:t>Kobiety</w:t>
            </w:r>
          </w:p>
        </w:tc>
        <w:tc>
          <w:tcPr>
            <w:tcW w:w="1221" w:type="dxa"/>
            <w:tcBorders>
              <w:bottom w:val="single" w:sz="4" w:space="0" w:color="000000"/>
              <w:right w:val="single" w:sz="4" w:space="0" w:color="000000"/>
            </w:tcBorders>
            <w:shd w:color="auto" w:fill="auto" w:val="clear"/>
            <w:vAlign w:val="bottom"/>
          </w:tcPr>
          <w:p>
            <w:pPr>
              <w:pStyle w:val="Standard"/>
              <w:widowControl w:val="false"/>
              <w:spacing w:lineRule="auto" w:line="360"/>
              <w:jc w:val="both"/>
              <w:rPr>
                <w:rFonts w:ascii="Times New Roman" w:hAnsi="Times New Roman" w:cs="Times New Roman"/>
                <w:sz w:val="22"/>
                <w:szCs w:val="22"/>
              </w:rPr>
            </w:pPr>
            <w:r>
              <w:rPr>
                <w:rFonts w:cs="Times New Roman" w:ascii="Times New Roman" w:hAnsi="Times New Roman"/>
                <w:sz w:val="22"/>
                <w:szCs w:val="22"/>
              </w:rPr>
              <w:t>liczba osób</w:t>
            </w:r>
          </w:p>
        </w:tc>
        <w:tc>
          <w:tcPr>
            <w:tcW w:w="1610" w:type="dxa"/>
            <w:tcBorders>
              <w:bottom w:val="single" w:sz="4" w:space="0" w:color="000000"/>
              <w:right w:val="single" w:sz="4" w:space="0" w:color="000000"/>
            </w:tcBorders>
            <w:shd w:color="auto" w:fill="auto" w:val="clea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4 020</w:t>
            </w:r>
          </w:p>
        </w:tc>
        <w:tc>
          <w:tcPr>
            <w:tcW w:w="1605" w:type="dxa"/>
            <w:tcBorders>
              <w:bottom w:val="single" w:sz="4" w:space="0" w:color="000000"/>
              <w:right w:val="single" w:sz="4" w:space="0" w:color="000000"/>
            </w:tcBorders>
            <w:shd w:color="auto" w:fill="auto" w:val="clea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3 977</w:t>
            </w:r>
          </w:p>
        </w:tc>
        <w:tc>
          <w:tcPr>
            <w:tcW w:w="1611" w:type="dxa"/>
            <w:tcBorders>
              <w:bottom w:val="single" w:sz="4" w:space="0" w:color="000000"/>
              <w:right w:val="single" w:sz="4" w:space="0" w:color="000000"/>
            </w:tcBorders>
            <w:shd w:color="auto" w:fill="auto" w:val="clea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3 997</w:t>
            </w:r>
          </w:p>
        </w:tc>
      </w:tr>
      <w:tr>
        <w:trPr>
          <w:trHeight w:val="320" w:hRule="atLeast"/>
        </w:trPr>
        <w:tc>
          <w:tcPr>
            <w:tcW w:w="2737" w:type="dxa"/>
            <w:tcBorders>
              <w:left w:val="single" w:sz="4" w:space="0" w:color="000000"/>
              <w:bottom w:val="single" w:sz="4" w:space="0" w:color="000000"/>
              <w:right w:val="single" w:sz="4" w:space="0" w:color="000000"/>
            </w:tcBorders>
            <w:shd w:color="auto" w:fill="FFF2CC" w:val="clear"/>
            <w:vAlign w:val="bottom"/>
          </w:tcPr>
          <w:p>
            <w:pPr>
              <w:pStyle w:val="Standard"/>
              <w:widowControl w:val="false"/>
              <w:spacing w:lineRule="auto" w:line="360"/>
              <w:jc w:val="both"/>
              <w:rPr>
                <w:rFonts w:ascii="Times New Roman" w:hAnsi="Times New Roman" w:cs="Times New Roman"/>
                <w:sz w:val="22"/>
                <w:szCs w:val="22"/>
              </w:rPr>
            </w:pPr>
            <w:r>
              <w:rPr>
                <w:rFonts w:cs="Times New Roman" w:ascii="Times New Roman" w:hAnsi="Times New Roman"/>
                <w:sz w:val="22"/>
                <w:szCs w:val="22"/>
              </w:rPr>
              <w:t>Ludność w wieku 0-17</w:t>
            </w:r>
          </w:p>
        </w:tc>
        <w:tc>
          <w:tcPr>
            <w:tcW w:w="1221" w:type="dxa"/>
            <w:tcBorders>
              <w:bottom w:val="single" w:sz="4" w:space="0" w:color="000000"/>
              <w:right w:val="single" w:sz="4" w:space="0" w:color="000000"/>
            </w:tcBorders>
            <w:shd w:color="auto" w:fill="auto" w:val="clear"/>
            <w:vAlign w:val="bottom"/>
          </w:tcPr>
          <w:p>
            <w:pPr>
              <w:pStyle w:val="Standard"/>
              <w:widowControl w:val="false"/>
              <w:spacing w:lineRule="auto" w:line="360"/>
              <w:jc w:val="both"/>
              <w:rPr>
                <w:rFonts w:ascii="Times New Roman" w:hAnsi="Times New Roman" w:cs="Times New Roman"/>
                <w:sz w:val="22"/>
                <w:szCs w:val="22"/>
              </w:rPr>
            </w:pPr>
            <w:r>
              <w:rPr>
                <w:rFonts w:cs="Times New Roman" w:ascii="Times New Roman" w:hAnsi="Times New Roman"/>
                <w:sz w:val="22"/>
                <w:szCs w:val="22"/>
              </w:rPr>
              <w:t>liczba osób</w:t>
            </w:r>
          </w:p>
        </w:tc>
        <w:tc>
          <w:tcPr>
            <w:tcW w:w="1610" w:type="dxa"/>
            <w:tcBorders>
              <w:bottom w:val="single" w:sz="4" w:space="0" w:color="000000"/>
              <w:right w:val="single" w:sz="4" w:space="0" w:color="000000"/>
            </w:tcBorders>
            <w:shd w:color="auto" w:fill="auto" w:val="clea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1 395</w:t>
            </w:r>
          </w:p>
        </w:tc>
        <w:tc>
          <w:tcPr>
            <w:tcW w:w="1605" w:type="dxa"/>
            <w:tcBorders>
              <w:bottom w:val="single" w:sz="4" w:space="0" w:color="000000"/>
              <w:right w:val="single" w:sz="4" w:space="0" w:color="000000"/>
            </w:tcBorders>
            <w:shd w:color="auto" w:fill="auto" w:val="clea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1 372</w:t>
            </w:r>
          </w:p>
        </w:tc>
        <w:tc>
          <w:tcPr>
            <w:tcW w:w="1611" w:type="dxa"/>
            <w:tcBorders>
              <w:bottom w:val="single" w:sz="4" w:space="0" w:color="000000"/>
              <w:right w:val="single" w:sz="4" w:space="0" w:color="000000"/>
            </w:tcBorders>
            <w:shd w:color="auto" w:fill="auto" w:val="clea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1 386</w:t>
            </w:r>
          </w:p>
        </w:tc>
      </w:tr>
      <w:tr>
        <w:trPr>
          <w:trHeight w:val="320" w:hRule="atLeast"/>
        </w:trPr>
        <w:tc>
          <w:tcPr>
            <w:tcW w:w="2737" w:type="dxa"/>
            <w:tcBorders>
              <w:left w:val="single" w:sz="4" w:space="0" w:color="000000"/>
              <w:bottom w:val="single" w:sz="4" w:space="0" w:color="000000"/>
              <w:right w:val="single" w:sz="4" w:space="0" w:color="000000"/>
            </w:tcBorders>
            <w:shd w:color="auto" w:fill="FFF2CC" w:val="clear"/>
            <w:vAlign w:val="bottom"/>
          </w:tcPr>
          <w:p>
            <w:pPr>
              <w:pStyle w:val="Standard"/>
              <w:widowControl w:val="false"/>
              <w:spacing w:lineRule="auto" w:line="360"/>
              <w:jc w:val="both"/>
              <w:rPr>
                <w:rFonts w:ascii="Times New Roman" w:hAnsi="Times New Roman" w:cs="Times New Roman"/>
                <w:sz w:val="22"/>
                <w:szCs w:val="22"/>
              </w:rPr>
            </w:pPr>
            <w:r>
              <w:rPr>
                <w:rFonts w:cs="Times New Roman" w:ascii="Times New Roman" w:hAnsi="Times New Roman"/>
                <w:sz w:val="22"/>
                <w:szCs w:val="22"/>
              </w:rPr>
              <w:t>Ludność w wieku 18-59/64</w:t>
            </w:r>
          </w:p>
        </w:tc>
        <w:tc>
          <w:tcPr>
            <w:tcW w:w="1221" w:type="dxa"/>
            <w:tcBorders>
              <w:bottom w:val="single" w:sz="4" w:space="0" w:color="000000"/>
              <w:right w:val="single" w:sz="4" w:space="0" w:color="000000"/>
            </w:tcBorders>
            <w:shd w:color="auto" w:fill="auto" w:val="clear"/>
            <w:vAlign w:val="bottom"/>
          </w:tcPr>
          <w:p>
            <w:pPr>
              <w:pStyle w:val="Standard"/>
              <w:widowControl w:val="false"/>
              <w:spacing w:lineRule="auto" w:line="360"/>
              <w:jc w:val="both"/>
              <w:rPr>
                <w:rFonts w:ascii="Times New Roman" w:hAnsi="Times New Roman" w:cs="Times New Roman"/>
                <w:sz w:val="22"/>
                <w:szCs w:val="22"/>
              </w:rPr>
            </w:pPr>
            <w:r>
              <w:rPr>
                <w:rFonts w:cs="Times New Roman" w:ascii="Times New Roman" w:hAnsi="Times New Roman"/>
                <w:sz w:val="22"/>
                <w:szCs w:val="22"/>
              </w:rPr>
              <w:t>liczba osób</w:t>
            </w:r>
          </w:p>
        </w:tc>
        <w:tc>
          <w:tcPr>
            <w:tcW w:w="1610" w:type="dxa"/>
            <w:tcBorders>
              <w:bottom w:val="single" w:sz="4" w:space="0" w:color="000000"/>
              <w:right w:val="single" w:sz="4" w:space="0" w:color="000000"/>
            </w:tcBorders>
            <w:shd w:color="auto" w:fill="auto" w:val="clea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5 098</w:t>
            </w:r>
          </w:p>
        </w:tc>
        <w:tc>
          <w:tcPr>
            <w:tcW w:w="1605" w:type="dxa"/>
            <w:tcBorders>
              <w:bottom w:val="single" w:sz="4" w:space="0" w:color="000000"/>
              <w:right w:val="single" w:sz="4" w:space="0" w:color="000000"/>
            </w:tcBorders>
            <w:shd w:color="auto" w:fill="auto" w:val="clea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5 023</w:t>
            </w:r>
          </w:p>
        </w:tc>
        <w:tc>
          <w:tcPr>
            <w:tcW w:w="1611" w:type="dxa"/>
            <w:tcBorders>
              <w:bottom w:val="single" w:sz="4" w:space="0" w:color="000000"/>
              <w:right w:val="single" w:sz="4" w:space="0" w:color="000000"/>
            </w:tcBorders>
            <w:shd w:color="auto" w:fill="auto" w:val="clea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4 997</w:t>
            </w:r>
          </w:p>
        </w:tc>
      </w:tr>
      <w:tr>
        <w:trPr>
          <w:trHeight w:val="320" w:hRule="atLeast"/>
        </w:trPr>
        <w:tc>
          <w:tcPr>
            <w:tcW w:w="2737" w:type="dxa"/>
            <w:tcBorders>
              <w:left w:val="single" w:sz="4" w:space="0" w:color="000000"/>
              <w:bottom w:val="single" w:sz="4" w:space="0" w:color="000000"/>
              <w:right w:val="single" w:sz="4" w:space="0" w:color="000000"/>
            </w:tcBorders>
            <w:shd w:color="auto" w:fill="FFF2CC" w:val="clear"/>
            <w:vAlign w:val="bottom"/>
          </w:tcPr>
          <w:p>
            <w:pPr>
              <w:pStyle w:val="Standard"/>
              <w:widowControl w:val="false"/>
              <w:spacing w:lineRule="auto" w:line="360"/>
              <w:jc w:val="both"/>
              <w:rPr>
                <w:rFonts w:ascii="Times New Roman" w:hAnsi="Times New Roman" w:cs="Times New Roman"/>
                <w:sz w:val="22"/>
                <w:szCs w:val="22"/>
              </w:rPr>
            </w:pPr>
            <w:r>
              <w:rPr>
                <w:rFonts w:cs="Times New Roman" w:ascii="Times New Roman" w:hAnsi="Times New Roman"/>
                <w:sz w:val="22"/>
                <w:szCs w:val="22"/>
              </w:rPr>
              <w:t>Ludność w wieku 60/65+</w:t>
            </w:r>
          </w:p>
        </w:tc>
        <w:tc>
          <w:tcPr>
            <w:tcW w:w="1221" w:type="dxa"/>
            <w:tcBorders>
              <w:bottom w:val="single" w:sz="4" w:space="0" w:color="000000"/>
              <w:right w:val="single" w:sz="4" w:space="0" w:color="000000"/>
            </w:tcBorders>
            <w:shd w:color="auto" w:fill="auto" w:val="clear"/>
            <w:vAlign w:val="bottom"/>
          </w:tcPr>
          <w:p>
            <w:pPr>
              <w:pStyle w:val="Standard"/>
              <w:widowControl w:val="false"/>
              <w:spacing w:lineRule="auto" w:line="360"/>
              <w:jc w:val="both"/>
              <w:rPr>
                <w:rFonts w:ascii="Times New Roman" w:hAnsi="Times New Roman" w:cs="Times New Roman"/>
                <w:sz w:val="22"/>
                <w:szCs w:val="22"/>
              </w:rPr>
            </w:pPr>
            <w:r>
              <w:rPr>
                <w:rFonts w:cs="Times New Roman" w:ascii="Times New Roman" w:hAnsi="Times New Roman"/>
                <w:sz w:val="22"/>
                <w:szCs w:val="22"/>
              </w:rPr>
              <w:t>liczba osób</w:t>
            </w:r>
          </w:p>
        </w:tc>
        <w:tc>
          <w:tcPr>
            <w:tcW w:w="1610" w:type="dxa"/>
            <w:tcBorders>
              <w:bottom w:val="single" w:sz="4" w:space="0" w:color="000000"/>
              <w:right w:val="single" w:sz="4" w:space="0" w:color="000000"/>
            </w:tcBorders>
            <w:shd w:color="auto" w:fill="auto" w:val="clea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1 529</w:t>
            </w:r>
          </w:p>
        </w:tc>
        <w:tc>
          <w:tcPr>
            <w:tcW w:w="1605" w:type="dxa"/>
            <w:tcBorders>
              <w:bottom w:val="single" w:sz="4" w:space="0" w:color="000000"/>
              <w:right w:val="single" w:sz="4" w:space="0" w:color="000000"/>
            </w:tcBorders>
            <w:shd w:color="auto" w:fill="auto" w:val="clea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1 566</w:t>
            </w:r>
          </w:p>
        </w:tc>
        <w:tc>
          <w:tcPr>
            <w:tcW w:w="1611" w:type="dxa"/>
            <w:tcBorders>
              <w:bottom w:val="single" w:sz="4" w:space="0" w:color="000000"/>
              <w:right w:val="single" w:sz="4" w:space="0" w:color="000000"/>
            </w:tcBorders>
            <w:shd w:color="auto" w:fill="auto" w:val="clea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1 594</w:t>
            </w:r>
          </w:p>
        </w:tc>
      </w:tr>
    </w:tbl>
    <w:p>
      <w:pPr>
        <w:pStyle w:val="Standard"/>
        <w:spacing w:lineRule="auto" w:line="360"/>
        <w:jc w:val="both"/>
        <w:rPr>
          <w:rFonts w:ascii="Times New Roman" w:hAnsi="Times New Roman" w:cs="Times New Roman"/>
          <w:sz w:val="22"/>
          <w:szCs w:val="22"/>
        </w:rPr>
      </w:pPr>
      <w:bookmarkStart w:id="5" w:name="OLE_LINK1"/>
      <w:r>
        <w:rPr>
          <w:rFonts w:eastAsia="Calibri" w:cs="Times New Roman" w:ascii="Times New Roman" w:hAnsi="Times New Roman"/>
          <w:sz w:val="22"/>
          <w:szCs w:val="22"/>
        </w:rPr>
        <w:t>Źródło: Bank Danych Lokalnych GUS.</w:t>
      </w:r>
      <w:bookmarkEnd w:id="5"/>
    </w:p>
    <w:p>
      <w:pPr>
        <w:pStyle w:val="Caption"/>
        <w:spacing w:lineRule="auto" w:line="360" w:before="0" w:after="0"/>
        <w:rPr>
          <w:rFonts w:ascii="Times New Roman" w:hAnsi="Times New Roman" w:cs="Times New Roman"/>
          <w:color w:val="auto"/>
        </w:rPr>
      </w:pPr>
      <w:r>
        <w:rPr>
          <w:rFonts w:cs="Times New Roman" w:ascii="Times New Roman" w:hAnsi="Times New Roman"/>
          <w:color w:val="auto"/>
        </w:rPr>
        <w:t>Tabela 2. Podstawowe informacje charakteryzujące sytuację na rynku pracy w gminie</w:t>
      </w:r>
    </w:p>
    <w:tbl>
      <w:tblPr>
        <w:tblW w:w="9067" w:type="dxa"/>
        <w:jc w:val="left"/>
        <w:tblInd w:w="5" w:type="dxa"/>
        <w:tblLayout w:type="fixed"/>
        <w:tblCellMar>
          <w:top w:w="0" w:type="dxa"/>
          <w:left w:w="70" w:type="dxa"/>
          <w:bottom w:w="0" w:type="dxa"/>
          <w:right w:w="70" w:type="dxa"/>
        </w:tblCellMar>
        <w:tblLook w:firstRow="1" w:noVBand="1" w:lastRow="0" w:firstColumn="1" w:lastColumn="0" w:noHBand="0" w:val="04a0"/>
      </w:tblPr>
      <w:tblGrid>
        <w:gridCol w:w="2740"/>
        <w:gridCol w:w="1218"/>
        <w:gridCol w:w="1278"/>
        <w:gridCol w:w="1275"/>
        <w:gridCol w:w="1282"/>
        <w:gridCol w:w="1273"/>
      </w:tblGrid>
      <w:tr>
        <w:trPr>
          <w:trHeight w:val="320" w:hRule="atLeast"/>
        </w:trPr>
        <w:tc>
          <w:tcPr>
            <w:tcW w:w="3958" w:type="dxa"/>
            <w:gridSpan w:val="2"/>
            <w:tcBorders>
              <w:top w:val="single" w:sz="4" w:space="0" w:color="000000"/>
              <w:left w:val="single" w:sz="4" w:space="0" w:color="000000"/>
              <w:bottom w:val="single" w:sz="4" w:space="0" w:color="000000"/>
              <w:right w:val="single" w:sz="4" w:space="0" w:color="000000"/>
            </w:tcBorders>
            <w:shd w:color="auto" w:fill="auto" w:val="clear"/>
            <w:vAlign w:val="bottom"/>
          </w:tcPr>
          <w:p>
            <w:pPr>
              <w:pStyle w:val="Standard"/>
              <w:widowControl w:val="false"/>
              <w:spacing w:lineRule="auto" w:line="360"/>
              <w:jc w:val="center"/>
              <w:rPr>
                <w:rFonts w:ascii="Times New Roman" w:hAnsi="Times New Roman" w:cs="Times New Roman"/>
                <w:b/>
                <w:b/>
                <w:bCs/>
                <w:sz w:val="22"/>
                <w:szCs w:val="22"/>
              </w:rPr>
            </w:pPr>
            <w:r>
              <w:rPr>
                <w:rFonts w:cs="Times New Roman" w:ascii="Times New Roman" w:hAnsi="Times New Roman"/>
                <w:b/>
                <w:bCs/>
                <w:sz w:val="22"/>
                <w:szCs w:val="22"/>
              </w:rPr>
              <w:t>Rok / wyszczególnienie</w:t>
            </w:r>
          </w:p>
        </w:tc>
        <w:tc>
          <w:tcPr>
            <w:tcW w:w="1278" w:type="dxa"/>
            <w:tcBorders>
              <w:top w:val="single" w:sz="4" w:space="0" w:color="000000"/>
              <w:bottom w:val="single" w:sz="4" w:space="0" w:color="000000"/>
              <w:right w:val="single" w:sz="4" w:space="0" w:color="000000"/>
            </w:tcBorders>
            <w:shd w:color="auto" w:fill="auto" w:val="clear"/>
            <w:vAlign w:val="bottom"/>
          </w:tcPr>
          <w:p>
            <w:pPr>
              <w:pStyle w:val="Standard"/>
              <w:widowControl w:val="false"/>
              <w:spacing w:lineRule="auto" w:line="360"/>
              <w:jc w:val="center"/>
              <w:rPr>
                <w:rFonts w:ascii="Times New Roman" w:hAnsi="Times New Roman" w:cs="Times New Roman"/>
                <w:b/>
                <w:b/>
                <w:bCs/>
                <w:sz w:val="22"/>
                <w:szCs w:val="22"/>
              </w:rPr>
            </w:pPr>
            <w:r>
              <w:rPr>
                <w:rFonts w:cs="Times New Roman" w:ascii="Times New Roman" w:hAnsi="Times New Roman"/>
                <w:b/>
                <w:bCs/>
                <w:sz w:val="22"/>
                <w:szCs w:val="22"/>
              </w:rPr>
              <w:t>2017</w:t>
            </w:r>
          </w:p>
        </w:tc>
        <w:tc>
          <w:tcPr>
            <w:tcW w:w="1275" w:type="dxa"/>
            <w:tcBorders>
              <w:top w:val="single" w:sz="4" w:space="0" w:color="000000"/>
              <w:bottom w:val="single" w:sz="4" w:space="0" w:color="000000"/>
              <w:right w:val="single" w:sz="4" w:space="0" w:color="000000"/>
            </w:tcBorders>
            <w:shd w:color="auto" w:fill="auto" w:val="clear"/>
            <w:vAlign w:val="bottom"/>
          </w:tcPr>
          <w:p>
            <w:pPr>
              <w:pStyle w:val="Standard"/>
              <w:widowControl w:val="false"/>
              <w:spacing w:lineRule="auto" w:line="360"/>
              <w:jc w:val="center"/>
              <w:rPr>
                <w:rFonts w:ascii="Times New Roman" w:hAnsi="Times New Roman" w:cs="Times New Roman"/>
                <w:b/>
                <w:b/>
                <w:bCs/>
                <w:sz w:val="22"/>
                <w:szCs w:val="22"/>
              </w:rPr>
            </w:pPr>
            <w:r>
              <w:rPr>
                <w:rFonts w:cs="Times New Roman" w:ascii="Times New Roman" w:hAnsi="Times New Roman"/>
                <w:b/>
                <w:bCs/>
                <w:sz w:val="22"/>
                <w:szCs w:val="22"/>
              </w:rPr>
              <w:t>2018</w:t>
            </w:r>
          </w:p>
        </w:tc>
        <w:tc>
          <w:tcPr>
            <w:tcW w:w="1282" w:type="dxa"/>
            <w:tcBorders>
              <w:top w:val="single" w:sz="4" w:space="0" w:color="000000"/>
              <w:bottom w:val="single" w:sz="4" w:space="0" w:color="000000"/>
              <w:right w:val="single" w:sz="4" w:space="0" w:color="000000"/>
            </w:tcBorders>
            <w:shd w:color="auto" w:fill="auto" w:val="clear"/>
            <w:vAlign w:val="bottom"/>
          </w:tcPr>
          <w:p>
            <w:pPr>
              <w:pStyle w:val="Standard"/>
              <w:widowControl w:val="false"/>
              <w:spacing w:lineRule="auto" w:line="360"/>
              <w:jc w:val="center"/>
              <w:rPr>
                <w:rFonts w:ascii="Times New Roman" w:hAnsi="Times New Roman" w:cs="Times New Roman"/>
                <w:b/>
                <w:b/>
                <w:bCs/>
                <w:sz w:val="22"/>
                <w:szCs w:val="22"/>
              </w:rPr>
            </w:pPr>
            <w:r>
              <w:rPr>
                <w:rFonts w:cs="Times New Roman" w:ascii="Times New Roman" w:hAnsi="Times New Roman"/>
                <w:b/>
                <w:bCs/>
                <w:sz w:val="22"/>
                <w:szCs w:val="22"/>
              </w:rPr>
              <w:t>2019</w:t>
            </w:r>
          </w:p>
        </w:tc>
        <w:tc>
          <w:tcPr>
            <w:tcW w:w="1273" w:type="dxa"/>
            <w:tcBorders>
              <w:top w:val="single" w:sz="4" w:space="0" w:color="000000"/>
              <w:bottom w:val="single" w:sz="4" w:space="0" w:color="000000"/>
              <w:right w:val="single" w:sz="4" w:space="0" w:color="000000"/>
            </w:tcBorders>
          </w:tcPr>
          <w:p>
            <w:pPr>
              <w:pStyle w:val="Standard"/>
              <w:widowControl w:val="false"/>
              <w:spacing w:lineRule="auto" w:line="360"/>
              <w:jc w:val="center"/>
              <w:rPr>
                <w:rFonts w:ascii="Times New Roman" w:hAnsi="Times New Roman" w:cs="Times New Roman"/>
                <w:b/>
                <w:b/>
                <w:bCs/>
                <w:sz w:val="22"/>
                <w:szCs w:val="22"/>
              </w:rPr>
            </w:pPr>
            <w:r>
              <w:rPr>
                <w:rFonts w:cs="Times New Roman" w:ascii="Times New Roman" w:hAnsi="Times New Roman"/>
                <w:b/>
                <w:bCs/>
                <w:sz w:val="22"/>
                <w:szCs w:val="22"/>
              </w:rPr>
              <w:t>2020</w:t>
            </w:r>
          </w:p>
        </w:tc>
      </w:tr>
      <w:tr>
        <w:trPr>
          <w:trHeight w:val="320" w:hRule="atLeast"/>
        </w:trPr>
        <w:tc>
          <w:tcPr>
            <w:tcW w:w="2740" w:type="dxa"/>
            <w:tcBorders>
              <w:left w:val="single" w:sz="4" w:space="0" w:color="000000"/>
              <w:bottom w:val="single" w:sz="4" w:space="0" w:color="000000"/>
              <w:right w:val="single" w:sz="4" w:space="0" w:color="000000"/>
            </w:tcBorders>
            <w:shd w:color="auto" w:fill="FFF2CC" w:val="clear"/>
            <w:vAlign w:val="cente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Liczba bezrobotnych</w:t>
            </w:r>
          </w:p>
        </w:tc>
        <w:tc>
          <w:tcPr>
            <w:tcW w:w="1218" w:type="dxa"/>
            <w:tcBorders>
              <w:bottom w:val="single" w:sz="4" w:space="0" w:color="000000"/>
              <w:right w:val="single" w:sz="4" w:space="0" w:color="000000"/>
            </w:tcBorders>
            <w:shd w:color="auto" w:fill="auto" w:val="clear"/>
            <w:vAlign w:val="center"/>
          </w:tcPr>
          <w:p>
            <w:pPr>
              <w:pStyle w:val="Standard"/>
              <w:widowControl w:val="false"/>
              <w:spacing w:lineRule="auto" w:line="360"/>
              <w:jc w:val="both"/>
              <w:rPr>
                <w:rFonts w:ascii="Times New Roman" w:hAnsi="Times New Roman" w:cs="Times New Roman"/>
                <w:sz w:val="22"/>
                <w:szCs w:val="22"/>
              </w:rPr>
            </w:pPr>
            <w:r>
              <w:rPr>
                <w:rFonts w:cs="Times New Roman" w:ascii="Times New Roman" w:hAnsi="Times New Roman"/>
                <w:sz w:val="22"/>
                <w:szCs w:val="22"/>
              </w:rPr>
              <w:t>liczba osób</w:t>
            </w:r>
          </w:p>
        </w:tc>
        <w:tc>
          <w:tcPr>
            <w:tcW w:w="1278" w:type="dxa"/>
            <w:tcBorders>
              <w:bottom w:val="single" w:sz="4" w:space="0" w:color="000000"/>
              <w:right w:val="single" w:sz="4" w:space="0" w:color="000000"/>
            </w:tcBorders>
            <w:shd w:color="auto" w:fill="auto" w:val="clea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739</w:t>
            </w:r>
          </w:p>
        </w:tc>
        <w:tc>
          <w:tcPr>
            <w:tcW w:w="1275" w:type="dxa"/>
            <w:tcBorders>
              <w:bottom w:val="single" w:sz="4" w:space="0" w:color="000000"/>
              <w:right w:val="single" w:sz="4" w:space="0" w:color="000000"/>
            </w:tcBorders>
            <w:shd w:color="auto" w:fill="auto" w:val="clea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571</w:t>
            </w:r>
          </w:p>
        </w:tc>
        <w:tc>
          <w:tcPr>
            <w:tcW w:w="1282" w:type="dxa"/>
            <w:tcBorders>
              <w:bottom w:val="single" w:sz="4" w:space="0" w:color="000000"/>
              <w:right w:val="single" w:sz="4" w:space="0" w:color="000000"/>
            </w:tcBorders>
            <w:shd w:color="auto" w:fill="auto" w:val="clea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551</w:t>
            </w:r>
          </w:p>
        </w:tc>
        <w:tc>
          <w:tcPr>
            <w:tcW w:w="1273" w:type="dxa"/>
            <w:tcBorders>
              <w:bottom w:val="single" w:sz="4" w:space="0" w:color="000000"/>
              <w:right w:val="single" w:sz="4" w:space="0" w:color="000000"/>
            </w:tcBorders>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556</w:t>
            </w:r>
          </w:p>
        </w:tc>
      </w:tr>
      <w:tr>
        <w:trPr>
          <w:trHeight w:val="320" w:hRule="atLeast"/>
        </w:trPr>
        <w:tc>
          <w:tcPr>
            <w:tcW w:w="2740" w:type="dxa"/>
            <w:tcBorders>
              <w:left w:val="single" w:sz="4" w:space="0" w:color="000000"/>
              <w:bottom w:val="single" w:sz="4" w:space="0" w:color="000000"/>
              <w:right w:val="single" w:sz="4" w:space="0" w:color="000000"/>
            </w:tcBorders>
            <w:shd w:color="auto" w:fill="FFF2CC" w:val="clear"/>
            <w:vAlign w:val="cente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Bezrobotni do 25 r.ż.</w:t>
            </w:r>
          </w:p>
        </w:tc>
        <w:tc>
          <w:tcPr>
            <w:tcW w:w="1218" w:type="dxa"/>
            <w:tcBorders>
              <w:bottom w:val="single" w:sz="4" w:space="0" w:color="000000"/>
              <w:right w:val="single" w:sz="4" w:space="0" w:color="000000"/>
            </w:tcBorders>
            <w:shd w:color="auto" w:fill="auto" w:val="clear"/>
            <w:vAlign w:val="center"/>
          </w:tcPr>
          <w:p>
            <w:pPr>
              <w:pStyle w:val="Standard"/>
              <w:widowControl w:val="false"/>
              <w:spacing w:lineRule="auto" w:line="360"/>
              <w:jc w:val="both"/>
              <w:rPr>
                <w:rFonts w:ascii="Times New Roman" w:hAnsi="Times New Roman" w:cs="Times New Roman"/>
                <w:sz w:val="22"/>
                <w:szCs w:val="22"/>
              </w:rPr>
            </w:pPr>
            <w:r>
              <w:rPr>
                <w:rFonts w:cs="Times New Roman" w:ascii="Times New Roman" w:hAnsi="Times New Roman"/>
                <w:sz w:val="22"/>
                <w:szCs w:val="22"/>
              </w:rPr>
              <w:t>liczba osób</w:t>
            </w:r>
          </w:p>
        </w:tc>
        <w:tc>
          <w:tcPr>
            <w:tcW w:w="1278" w:type="dxa"/>
            <w:tcBorders>
              <w:bottom w:val="single" w:sz="4" w:space="0" w:color="000000"/>
              <w:right w:val="single" w:sz="4" w:space="0" w:color="000000"/>
            </w:tcBorders>
            <w:shd w:color="auto" w:fill="auto" w:val="clea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79</w:t>
            </w:r>
          </w:p>
        </w:tc>
        <w:tc>
          <w:tcPr>
            <w:tcW w:w="1275" w:type="dxa"/>
            <w:tcBorders>
              <w:bottom w:val="single" w:sz="4" w:space="0" w:color="000000"/>
              <w:right w:val="single" w:sz="4" w:space="0" w:color="000000"/>
            </w:tcBorders>
            <w:shd w:color="auto" w:fill="auto" w:val="clea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56</w:t>
            </w:r>
          </w:p>
        </w:tc>
        <w:tc>
          <w:tcPr>
            <w:tcW w:w="1282" w:type="dxa"/>
            <w:tcBorders>
              <w:bottom w:val="single" w:sz="4" w:space="0" w:color="000000"/>
              <w:right w:val="single" w:sz="4" w:space="0" w:color="000000"/>
            </w:tcBorders>
            <w:shd w:color="auto" w:fill="auto" w:val="clea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52</w:t>
            </w:r>
          </w:p>
        </w:tc>
        <w:tc>
          <w:tcPr>
            <w:tcW w:w="1273" w:type="dxa"/>
            <w:tcBorders>
              <w:bottom w:val="single" w:sz="4" w:space="0" w:color="000000"/>
              <w:right w:val="single" w:sz="4" w:space="0" w:color="000000"/>
            </w:tcBorders>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65</w:t>
            </w:r>
          </w:p>
        </w:tc>
      </w:tr>
      <w:tr>
        <w:trPr>
          <w:trHeight w:val="320" w:hRule="atLeast"/>
        </w:trPr>
        <w:tc>
          <w:tcPr>
            <w:tcW w:w="2740" w:type="dxa"/>
            <w:tcBorders>
              <w:left w:val="single" w:sz="4" w:space="0" w:color="000000"/>
              <w:bottom w:val="single" w:sz="4" w:space="0" w:color="000000"/>
              <w:right w:val="single" w:sz="4" w:space="0" w:color="000000"/>
            </w:tcBorders>
            <w:shd w:color="auto" w:fill="FFF2CC" w:val="clear"/>
            <w:vAlign w:val="cente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Bezrobotni powyżej 50 r.ż.</w:t>
            </w:r>
          </w:p>
        </w:tc>
        <w:tc>
          <w:tcPr>
            <w:tcW w:w="1218" w:type="dxa"/>
            <w:tcBorders>
              <w:bottom w:val="single" w:sz="4" w:space="0" w:color="000000"/>
              <w:right w:val="single" w:sz="4" w:space="0" w:color="000000"/>
            </w:tcBorders>
            <w:shd w:color="auto" w:fill="auto" w:val="clear"/>
            <w:vAlign w:val="center"/>
          </w:tcPr>
          <w:p>
            <w:pPr>
              <w:pStyle w:val="Standard"/>
              <w:widowControl w:val="false"/>
              <w:spacing w:lineRule="auto" w:line="360"/>
              <w:jc w:val="both"/>
              <w:rPr>
                <w:rFonts w:ascii="Times New Roman" w:hAnsi="Times New Roman" w:cs="Times New Roman"/>
                <w:sz w:val="22"/>
                <w:szCs w:val="22"/>
              </w:rPr>
            </w:pPr>
            <w:r>
              <w:rPr>
                <w:rFonts w:cs="Times New Roman" w:ascii="Times New Roman" w:hAnsi="Times New Roman"/>
                <w:sz w:val="22"/>
                <w:szCs w:val="22"/>
              </w:rPr>
              <w:t>liczba osób</w:t>
            </w:r>
          </w:p>
        </w:tc>
        <w:tc>
          <w:tcPr>
            <w:tcW w:w="1278" w:type="dxa"/>
            <w:tcBorders>
              <w:bottom w:val="single" w:sz="4" w:space="0" w:color="000000"/>
              <w:right w:val="single" w:sz="4" w:space="0" w:color="000000"/>
            </w:tcBorders>
            <w:shd w:color="auto" w:fill="auto" w:val="clea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177</w:t>
            </w:r>
          </w:p>
        </w:tc>
        <w:tc>
          <w:tcPr>
            <w:tcW w:w="1275" w:type="dxa"/>
            <w:tcBorders>
              <w:bottom w:val="single" w:sz="4" w:space="0" w:color="000000"/>
              <w:right w:val="single" w:sz="4" w:space="0" w:color="000000"/>
            </w:tcBorders>
            <w:shd w:color="auto" w:fill="auto" w:val="clea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154</w:t>
            </w:r>
          </w:p>
        </w:tc>
        <w:tc>
          <w:tcPr>
            <w:tcW w:w="1282" w:type="dxa"/>
            <w:tcBorders>
              <w:bottom w:val="single" w:sz="4" w:space="0" w:color="000000"/>
              <w:right w:val="single" w:sz="4" w:space="0" w:color="000000"/>
            </w:tcBorders>
            <w:shd w:color="auto" w:fill="auto" w:val="clea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146</w:t>
            </w:r>
          </w:p>
        </w:tc>
        <w:tc>
          <w:tcPr>
            <w:tcW w:w="1273" w:type="dxa"/>
            <w:tcBorders>
              <w:bottom w:val="single" w:sz="4" w:space="0" w:color="000000"/>
              <w:right w:val="single" w:sz="4" w:space="0" w:color="000000"/>
            </w:tcBorders>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137</w:t>
            </w:r>
          </w:p>
        </w:tc>
      </w:tr>
      <w:tr>
        <w:trPr>
          <w:trHeight w:val="320" w:hRule="atLeast"/>
        </w:trPr>
        <w:tc>
          <w:tcPr>
            <w:tcW w:w="2740" w:type="dxa"/>
            <w:tcBorders>
              <w:left w:val="single" w:sz="4" w:space="0" w:color="000000"/>
              <w:bottom w:val="single" w:sz="4" w:space="0" w:color="000000"/>
              <w:right w:val="single" w:sz="4" w:space="0" w:color="000000"/>
            </w:tcBorders>
            <w:shd w:color="auto" w:fill="FFF2CC" w:val="clear"/>
            <w:vAlign w:val="cente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Bezrobotne kobiety</w:t>
            </w:r>
          </w:p>
        </w:tc>
        <w:tc>
          <w:tcPr>
            <w:tcW w:w="1218" w:type="dxa"/>
            <w:tcBorders>
              <w:bottom w:val="single" w:sz="4" w:space="0" w:color="000000"/>
              <w:right w:val="single" w:sz="4" w:space="0" w:color="000000"/>
            </w:tcBorders>
            <w:shd w:color="auto" w:fill="auto" w:val="clear"/>
            <w:vAlign w:val="center"/>
          </w:tcPr>
          <w:p>
            <w:pPr>
              <w:pStyle w:val="Standard"/>
              <w:widowControl w:val="false"/>
              <w:spacing w:lineRule="auto" w:line="360"/>
              <w:jc w:val="both"/>
              <w:rPr>
                <w:rFonts w:ascii="Times New Roman" w:hAnsi="Times New Roman" w:cs="Times New Roman"/>
                <w:sz w:val="22"/>
                <w:szCs w:val="22"/>
              </w:rPr>
            </w:pPr>
            <w:r>
              <w:rPr>
                <w:rFonts w:cs="Times New Roman" w:ascii="Times New Roman" w:hAnsi="Times New Roman"/>
                <w:sz w:val="22"/>
                <w:szCs w:val="22"/>
              </w:rPr>
              <w:t>liczba osób</w:t>
            </w:r>
          </w:p>
        </w:tc>
        <w:tc>
          <w:tcPr>
            <w:tcW w:w="1278" w:type="dxa"/>
            <w:tcBorders>
              <w:bottom w:val="single" w:sz="4" w:space="0" w:color="000000"/>
              <w:right w:val="single" w:sz="4" w:space="0" w:color="000000"/>
            </w:tcBorders>
            <w:shd w:color="auto" w:fill="auto" w:val="clea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407</w:t>
            </w:r>
          </w:p>
        </w:tc>
        <w:tc>
          <w:tcPr>
            <w:tcW w:w="1275" w:type="dxa"/>
            <w:tcBorders>
              <w:bottom w:val="single" w:sz="4" w:space="0" w:color="000000"/>
              <w:right w:val="single" w:sz="4" w:space="0" w:color="000000"/>
            </w:tcBorders>
            <w:shd w:color="auto" w:fill="auto" w:val="clea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335</w:t>
            </w:r>
          </w:p>
        </w:tc>
        <w:tc>
          <w:tcPr>
            <w:tcW w:w="1282" w:type="dxa"/>
            <w:tcBorders>
              <w:bottom w:val="single" w:sz="4" w:space="0" w:color="000000"/>
              <w:right w:val="single" w:sz="4" w:space="0" w:color="000000"/>
            </w:tcBorders>
            <w:shd w:color="auto" w:fill="auto" w:val="clea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320</w:t>
            </w:r>
          </w:p>
        </w:tc>
        <w:tc>
          <w:tcPr>
            <w:tcW w:w="1273" w:type="dxa"/>
            <w:tcBorders>
              <w:bottom w:val="single" w:sz="4" w:space="0" w:color="000000"/>
              <w:right w:val="single" w:sz="4" w:space="0" w:color="000000"/>
            </w:tcBorders>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317</w:t>
            </w:r>
          </w:p>
        </w:tc>
      </w:tr>
      <w:tr>
        <w:trPr>
          <w:trHeight w:val="320" w:hRule="atLeast"/>
        </w:trPr>
        <w:tc>
          <w:tcPr>
            <w:tcW w:w="2740" w:type="dxa"/>
            <w:tcBorders>
              <w:left w:val="single" w:sz="4" w:space="0" w:color="000000"/>
              <w:bottom w:val="single" w:sz="4" w:space="0" w:color="000000"/>
              <w:right w:val="single" w:sz="4" w:space="0" w:color="000000"/>
            </w:tcBorders>
            <w:shd w:color="auto" w:fill="FFF2CC" w:val="clear"/>
            <w:vAlign w:val="cente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Bezrobotni mężczyźni</w:t>
            </w:r>
          </w:p>
        </w:tc>
        <w:tc>
          <w:tcPr>
            <w:tcW w:w="1218" w:type="dxa"/>
            <w:tcBorders>
              <w:bottom w:val="single" w:sz="4" w:space="0" w:color="000000"/>
              <w:right w:val="single" w:sz="4" w:space="0" w:color="000000"/>
            </w:tcBorders>
            <w:shd w:color="auto" w:fill="auto" w:val="clear"/>
            <w:vAlign w:val="center"/>
          </w:tcPr>
          <w:p>
            <w:pPr>
              <w:pStyle w:val="Standard"/>
              <w:widowControl w:val="false"/>
              <w:spacing w:lineRule="auto" w:line="360"/>
              <w:jc w:val="both"/>
              <w:rPr>
                <w:rFonts w:ascii="Times New Roman" w:hAnsi="Times New Roman" w:cs="Times New Roman"/>
                <w:sz w:val="22"/>
                <w:szCs w:val="22"/>
              </w:rPr>
            </w:pPr>
            <w:r>
              <w:rPr>
                <w:rFonts w:cs="Times New Roman" w:ascii="Times New Roman" w:hAnsi="Times New Roman"/>
                <w:sz w:val="22"/>
                <w:szCs w:val="22"/>
              </w:rPr>
              <w:t>liczba osób</w:t>
            </w:r>
          </w:p>
        </w:tc>
        <w:tc>
          <w:tcPr>
            <w:tcW w:w="1278" w:type="dxa"/>
            <w:tcBorders>
              <w:bottom w:val="single" w:sz="4" w:space="0" w:color="000000"/>
              <w:right w:val="single" w:sz="4" w:space="0" w:color="000000"/>
            </w:tcBorders>
            <w:shd w:color="auto" w:fill="auto" w:val="clea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332</w:t>
            </w:r>
          </w:p>
        </w:tc>
        <w:tc>
          <w:tcPr>
            <w:tcW w:w="1275" w:type="dxa"/>
            <w:tcBorders>
              <w:bottom w:val="single" w:sz="4" w:space="0" w:color="000000"/>
              <w:right w:val="single" w:sz="4" w:space="0" w:color="000000"/>
            </w:tcBorders>
            <w:shd w:color="auto" w:fill="auto" w:val="clea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236</w:t>
            </w:r>
          </w:p>
        </w:tc>
        <w:tc>
          <w:tcPr>
            <w:tcW w:w="1282" w:type="dxa"/>
            <w:tcBorders>
              <w:bottom w:val="single" w:sz="4" w:space="0" w:color="000000"/>
              <w:right w:val="single" w:sz="4" w:space="0" w:color="000000"/>
            </w:tcBorders>
            <w:shd w:color="auto" w:fill="auto" w:val="clea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231</w:t>
            </w:r>
          </w:p>
        </w:tc>
        <w:tc>
          <w:tcPr>
            <w:tcW w:w="1273" w:type="dxa"/>
            <w:tcBorders>
              <w:bottom w:val="single" w:sz="4" w:space="0" w:color="000000"/>
              <w:right w:val="single" w:sz="4" w:space="0" w:color="000000"/>
            </w:tcBorders>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239</w:t>
            </w:r>
          </w:p>
        </w:tc>
      </w:tr>
      <w:tr>
        <w:trPr>
          <w:trHeight w:val="320" w:hRule="atLeast"/>
        </w:trPr>
        <w:tc>
          <w:tcPr>
            <w:tcW w:w="2740" w:type="dxa"/>
            <w:tcBorders>
              <w:left w:val="single" w:sz="4" w:space="0" w:color="000000"/>
              <w:bottom w:val="single" w:sz="4" w:space="0" w:color="000000"/>
              <w:right w:val="single" w:sz="4" w:space="0" w:color="000000"/>
            </w:tcBorders>
            <w:shd w:color="auto" w:fill="FFF2CC" w:val="clear"/>
            <w:vAlign w:val="cente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Długotrwale bezrobotni</w:t>
            </w:r>
          </w:p>
        </w:tc>
        <w:tc>
          <w:tcPr>
            <w:tcW w:w="1218" w:type="dxa"/>
            <w:tcBorders>
              <w:bottom w:val="single" w:sz="4" w:space="0" w:color="000000"/>
              <w:right w:val="single" w:sz="4" w:space="0" w:color="000000"/>
            </w:tcBorders>
            <w:shd w:color="auto" w:fill="auto" w:val="clear"/>
            <w:vAlign w:val="center"/>
          </w:tcPr>
          <w:p>
            <w:pPr>
              <w:pStyle w:val="Standard"/>
              <w:widowControl w:val="false"/>
              <w:spacing w:lineRule="auto" w:line="360"/>
              <w:jc w:val="both"/>
              <w:rPr>
                <w:rFonts w:ascii="Times New Roman" w:hAnsi="Times New Roman" w:cs="Times New Roman"/>
                <w:sz w:val="22"/>
                <w:szCs w:val="22"/>
              </w:rPr>
            </w:pPr>
            <w:r>
              <w:rPr>
                <w:rFonts w:cs="Times New Roman" w:ascii="Times New Roman" w:hAnsi="Times New Roman"/>
                <w:sz w:val="22"/>
                <w:szCs w:val="22"/>
              </w:rPr>
              <w:t>liczba osób</w:t>
            </w:r>
          </w:p>
        </w:tc>
        <w:tc>
          <w:tcPr>
            <w:tcW w:w="1278" w:type="dxa"/>
            <w:tcBorders>
              <w:bottom w:val="single" w:sz="4" w:space="0" w:color="000000"/>
              <w:right w:val="single" w:sz="4" w:space="0" w:color="000000"/>
            </w:tcBorders>
            <w:shd w:color="auto" w:fill="auto" w:val="clea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542</w:t>
            </w:r>
          </w:p>
        </w:tc>
        <w:tc>
          <w:tcPr>
            <w:tcW w:w="1275" w:type="dxa"/>
            <w:tcBorders>
              <w:bottom w:val="single" w:sz="4" w:space="0" w:color="000000"/>
              <w:right w:val="single" w:sz="4" w:space="0" w:color="000000"/>
            </w:tcBorders>
            <w:shd w:color="auto" w:fill="auto" w:val="clea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449</w:t>
            </w:r>
          </w:p>
        </w:tc>
        <w:tc>
          <w:tcPr>
            <w:tcW w:w="1282" w:type="dxa"/>
            <w:tcBorders>
              <w:bottom w:val="single" w:sz="4" w:space="0" w:color="000000"/>
              <w:right w:val="single" w:sz="4" w:space="0" w:color="000000"/>
            </w:tcBorders>
            <w:shd w:color="auto" w:fill="auto" w:val="clea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406</w:t>
            </w:r>
          </w:p>
        </w:tc>
        <w:tc>
          <w:tcPr>
            <w:tcW w:w="1273" w:type="dxa"/>
            <w:tcBorders>
              <w:bottom w:val="single" w:sz="4" w:space="0" w:color="000000"/>
              <w:right w:val="single" w:sz="4" w:space="0" w:color="000000"/>
            </w:tcBorders>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403</w:t>
            </w:r>
          </w:p>
        </w:tc>
      </w:tr>
      <w:tr>
        <w:trPr>
          <w:trHeight w:val="960" w:hRule="atLeast"/>
        </w:trPr>
        <w:tc>
          <w:tcPr>
            <w:tcW w:w="2740" w:type="dxa"/>
            <w:tcBorders>
              <w:left w:val="single" w:sz="4" w:space="0" w:color="000000"/>
              <w:bottom w:val="single" w:sz="4" w:space="0" w:color="000000"/>
              <w:right w:val="single" w:sz="4" w:space="0" w:color="000000"/>
            </w:tcBorders>
            <w:shd w:color="auto" w:fill="FFF2CC" w:val="clear"/>
            <w:vAlign w:val="cente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Beneficjenci środowiskowej pomocy społecznej na 10 tys. ludności</w:t>
            </w:r>
          </w:p>
        </w:tc>
        <w:tc>
          <w:tcPr>
            <w:tcW w:w="1218" w:type="dxa"/>
            <w:tcBorders>
              <w:bottom w:val="single" w:sz="4" w:space="0" w:color="000000"/>
              <w:right w:val="single" w:sz="4" w:space="0" w:color="000000"/>
            </w:tcBorders>
            <w:shd w:color="auto" w:fill="auto" w:val="clear"/>
            <w:vAlign w:val="center"/>
          </w:tcPr>
          <w:p>
            <w:pPr>
              <w:pStyle w:val="Standard"/>
              <w:widowControl w:val="false"/>
              <w:spacing w:lineRule="auto" w:line="360"/>
              <w:jc w:val="both"/>
              <w:rPr>
                <w:rFonts w:ascii="Times New Roman" w:hAnsi="Times New Roman" w:cs="Times New Roman"/>
                <w:sz w:val="22"/>
                <w:szCs w:val="22"/>
              </w:rPr>
            </w:pPr>
            <w:r>
              <w:rPr>
                <w:rFonts w:cs="Times New Roman" w:ascii="Times New Roman" w:hAnsi="Times New Roman"/>
                <w:sz w:val="22"/>
                <w:szCs w:val="22"/>
              </w:rPr>
              <w:t>liczba osób</w:t>
            </w:r>
          </w:p>
        </w:tc>
        <w:tc>
          <w:tcPr>
            <w:tcW w:w="1278" w:type="dxa"/>
            <w:tcBorders>
              <w:bottom w:val="single" w:sz="4" w:space="0" w:color="000000"/>
              <w:right w:val="single" w:sz="4" w:space="0" w:color="000000"/>
            </w:tcBorders>
            <w:shd w:color="auto" w:fill="auto" w:val="clea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1 471</w:t>
            </w:r>
          </w:p>
        </w:tc>
        <w:tc>
          <w:tcPr>
            <w:tcW w:w="1275" w:type="dxa"/>
            <w:tcBorders>
              <w:bottom w:val="single" w:sz="4" w:space="0" w:color="000000"/>
              <w:right w:val="single" w:sz="4" w:space="0" w:color="000000"/>
            </w:tcBorders>
            <w:shd w:color="auto" w:fill="auto" w:val="clea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1 302</w:t>
            </w:r>
          </w:p>
        </w:tc>
        <w:tc>
          <w:tcPr>
            <w:tcW w:w="1282" w:type="dxa"/>
            <w:tcBorders>
              <w:bottom w:val="single" w:sz="4" w:space="0" w:color="000000"/>
              <w:right w:val="single" w:sz="4" w:space="0" w:color="000000"/>
            </w:tcBorders>
            <w:shd w:color="auto" w:fill="auto" w:val="clea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1 037</w:t>
            </w:r>
          </w:p>
        </w:tc>
        <w:tc>
          <w:tcPr>
            <w:tcW w:w="1273" w:type="dxa"/>
            <w:tcBorders>
              <w:bottom w:val="single" w:sz="4" w:space="0" w:color="000000"/>
              <w:right w:val="single" w:sz="4" w:space="0" w:color="000000"/>
            </w:tcBorders>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r>
          </w:p>
        </w:tc>
      </w:tr>
      <w:tr>
        <w:trPr>
          <w:trHeight w:val="320" w:hRule="atLeast"/>
        </w:trPr>
        <w:tc>
          <w:tcPr>
            <w:tcW w:w="2740" w:type="dxa"/>
            <w:tcBorders>
              <w:left w:val="single" w:sz="4" w:space="0" w:color="000000"/>
              <w:bottom w:val="single" w:sz="4" w:space="0" w:color="000000"/>
              <w:right w:val="single" w:sz="4" w:space="0" w:color="000000"/>
            </w:tcBorders>
            <w:shd w:color="auto" w:fill="FFF2CC" w:val="clear"/>
            <w:vAlign w:val="cente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Pracujący na 1000 ludności</w:t>
            </w:r>
          </w:p>
        </w:tc>
        <w:tc>
          <w:tcPr>
            <w:tcW w:w="1218" w:type="dxa"/>
            <w:tcBorders>
              <w:bottom w:val="single" w:sz="4" w:space="0" w:color="000000"/>
              <w:right w:val="single" w:sz="4" w:space="0" w:color="000000"/>
            </w:tcBorders>
            <w:shd w:color="auto" w:fill="auto" w:val="clear"/>
            <w:vAlign w:val="center"/>
          </w:tcPr>
          <w:p>
            <w:pPr>
              <w:pStyle w:val="Standard"/>
              <w:widowControl w:val="false"/>
              <w:spacing w:lineRule="auto" w:line="360"/>
              <w:jc w:val="both"/>
              <w:rPr>
                <w:rFonts w:ascii="Times New Roman" w:hAnsi="Times New Roman" w:cs="Times New Roman"/>
                <w:sz w:val="22"/>
                <w:szCs w:val="22"/>
              </w:rPr>
            </w:pPr>
            <w:r>
              <w:rPr>
                <w:rFonts w:cs="Times New Roman" w:ascii="Times New Roman" w:hAnsi="Times New Roman"/>
                <w:sz w:val="22"/>
                <w:szCs w:val="22"/>
              </w:rPr>
              <w:t>liczba osób</w:t>
            </w:r>
          </w:p>
        </w:tc>
        <w:tc>
          <w:tcPr>
            <w:tcW w:w="1278" w:type="dxa"/>
            <w:tcBorders>
              <w:bottom w:val="single" w:sz="4" w:space="0" w:color="000000"/>
              <w:right w:val="single" w:sz="4" w:space="0" w:color="000000"/>
            </w:tcBorders>
            <w:shd w:color="auto" w:fill="auto" w:val="clea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75</w:t>
            </w:r>
          </w:p>
        </w:tc>
        <w:tc>
          <w:tcPr>
            <w:tcW w:w="1275" w:type="dxa"/>
            <w:tcBorders>
              <w:bottom w:val="single" w:sz="4" w:space="0" w:color="000000"/>
              <w:right w:val="single" w:sz="4" w:space="0" w:color="000000"/>
            </w:tcBorders>
            <w:shd w:color="auto" w:fill="auto" w:val="clea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82</w:t>
            </w:r>
          </w:p>
        </w:tc>
        <w:tc>
          <w:tcPr>
            <w:tcW w:w="1282" w:type="dxa"/>
            <w:tcBorders>
              <w:bottom w:val="single" w:sz="4" w:space="0" w:color="000000"/>
              <w:right w:val="single" w:sz="4" w:space="0" w:color="000000"/>
            </w:tcBorders>
            <w:shd w:color="auto" w:fill="auto" w:val="clea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93</w:t>
            </w:r>
          </w:p>
        </w:tc>
        <w:tc>
          <w:tcPr>
            <w:tcW w:w="1273" w:type="dxa"/>
            <w:tcBorders>
              <w:bottom w:val="single" w:sz="4" w:space="0" w:color="000000"/>
              <w:right w:val="single" w:sz="4" w:space="0" w:color="000000"/>
            </w:tcBorders>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r>
          </w:p>
        </w:tc>
      </w:tr>
    </w:tbl>
    <w:p>
      <w:pPr>
        <w:pStyle w:val="Standard"/>
        <w:spacing w:lineRule="auto" w:line="360"/>
        <w:jc w:val="both"/>
        <w:rPr>
          <w:rFonts w:ascii="Times New Roman" w:hAnsi="Times New Roman" w:eastAsia="Calibri" w:cs="Times New Roman"/>
          <w:sz w:val="22"/>
          <w:szCs w:val="22"/>
        </w:rPr>
      </w:pPr>
      <w:r>
        <w:rPr>
          <w:rFonts w:eastAsia="Calibri" w:cs="Times New Roman" w:ascii="Times New Roman" w:hAnsi="Times New Roman"/>
          <w:sz w:val="22"/>
          <w:szCs w:val="22"/>
        </w:rPr>
        <w:t>Źródło: Bank Danych Lokalnych GUS.</w:t>
      </w:r>
    </w:p>
    <w:p>
      <w:pPr>
        <w:pStyle w:val="Caption"/>
        <w:spacing w:lineRule="auto" w:line="360" w:before="0" w:after="0"/>
        <w:rPr>
          <w:rFonts w:ascii="Times New Roman" w:hAnsi="Times New Roman" w:cs="Times New Roman"/>
          <w:color w:val="auto"/>
        </w:rPr>
      </w:pPr>
      <w:r>
        <w:rPr>
          <w:rFonts w:cs="Times New Roman" w:ascii="Times New Roman" w:hAnsi="Times New Roman"/>
          <w:color w:val="auto"/>
        </w:rPr>
        <w:t>Rysunek 3. Prognoza ludności w gminie</w:t>
      </w:r>
      <w:r>
        <w:rPr/>
        <w:drawing>
          <wp:inline distT="0" distB="0" distL="0" distR="0">
            <wp:extent cx="4312920" cy="2872740"/>
            <wp:effectExtent l="0" t="0" r="0" b="0"/>
            <wp:docPr id="6" name="Obraz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10" descr=""/>
                    <pic:cNvPicPr>
                      <a:picLocks noChangeAspect="1" noChangeArrowheads="1"/>
                    </pic:cNvPicPr>
                  </pic:nvPicPr>
                  <pic:blipFill>
                    <a:blip r:embed="rId7"/>
                    <a:stretch>
                      <a:fillRect/>
                    </a:stretch>
                  </pic:blipFill>
                  <pic:spPr bwMode="auto">
                    <a:xfrm>
                      <a:off x="0" y="0"/>
                      <a:ext cx="4312920" cy="2872740"/>
                    </a:xfrm>
                    <a:prstGeom prst="rect">
                      <a:avLst/>
                    </a:prstGeom>
                  </pic:spPr>
                </pic:pic>
              </a:graphicData>
            </a:graphic>
          </wp:inline>
        </w:drawing>
      </w:r>
    </w:p>
    <w:p>
      <w:pPr>
        <w:pStyle w:val="Standard"/>
        <w:spacing w:lineRule="auto" w:line="360"/>
        <w:jc w:val="both"/>
        <w:rPr>
          <w:rFonts w:ascii="Times New Roman" w:hAnsi="Times New Roman" w:eastAsia="Calibri" w:cs="Times New Roman"/>
          <w:sz w:val="22"/>
          <w:szCs w:val="22"/>
        </w:rPr>
      </w:pPr>
      <w:r>
        <w:rPr>
          <w:rFonts w:eastAsia="Calibri" w:cs="Times New Roman" w:ascii="Times New Roman" w:hAnsi="Times New Roman"/>
          <w:sz w:val="22"/>
          <w:szCs w:val="22"/>
        </w:rPr>
        <w:t>Źródło: Bank Danych Lokalnych GUS.</w:t>
      </w:r>
    </w:p>
    <w:p>
      <w:pPr>
        <w:pStyle w:val="Standard"/>
        <w:spacing w:lineRule="auto" w:line="360"/>
        <w:ind w:firstLine="720"/>
        <w:jc w:val="both"/>
        <w:rPr>
          <w:rFonts w:ascii="Times New Roman" w:hAnsi="Times New Roman" w:eastAsia="Calibri" w:cs="Times New Roman"/>
          <w:sz w:val="22"/>
          <w:szCs w:val="22"/>
          <w:shd w:fill="FFFFFF" w:val="clear"/>
        </w:rPr>
      </w:pPr>
      <w:r>
        <w:rPr>
          <w:rFonts w:eastAsia="Calibri" w:cs="Times New Roman" w:ascii="Times New Roman" w:hAnsi="Times New Roman"/>
          <w:sz w:val="22"/>
          <w:szCs w:val="22"/>
          <w:shd w:fill="FFFFFF" w:val="clear"/>
        </w:rPr>
        <w:t>Prognoza ludności w gminie wskazuje na istotne zmiany w strukturze ludności w perspektywie roku 2030.</w:t>
      </w:r>
    </w:p>
    <w:p>
      <w:pPr>
        <w:pStyle w:val="Caption"/>
        <w:spacing w:lineRule="auto" w:line="360" w:before="0" w:after="0"/>
        <w:rPr>
          <w:rFonts w:ascii="Times New Roman" w:hAnsi="Times New Roman" w:cs="Times New Roman"/>
          <w:color w:val="auto"/>
        </w:rPr>
      </w:pPr>
      <w:r>
        <w:rPr>
          <w:rFonts w:cs="Times New Roman" w:ascii="Times New Roman" w:hAnsi="Times New Roman"/>
          <w:color w:val="auto"/>
        </w:rPr>
        <w:t>Tabela 3. Zmiany w strukturze ludności w świetle prognozy GUS</w:t>
      </w:r>
    </w:p>
    <w:tbl>
      <w:tblPr>
        <w:tblW w:w="8440"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558"/>
        <w:gridCol w:w="2202"/>
        <w:gridCol w:w="1558"/>
        <w:gridCol w:w="1562"/>
        <w:gridCol w:w="1560"/>
      </w:tblGrid>
      <w:tr>
        <w:trPr>
          <w:trHeight w:val="375" w:hRule="atLeast"/>
        </w:trPr>
        <w:tc>
          <w:tcPr>
            <w:tcW w:w="1558" w:type="dxa"/>
            <w:tcBorders>
              <w:top w:val="single" w:sz="8" w:space="0" w:color="000000"/>
              <w:left w:val="single" w:sz="8" w:space="0" w:color="000000"/>
              <w:bottom w:val="single" w:sz="8" w:space="0" w:color="000000"/>
              <w:right w:val="single" w:sz="4" w:space="0" w:color="000000"/>
            </w:tcBorders>
            <w:shd w:color="auto" w:fill="00CC5C" w:val="clear"/>
            <w:vAlign w:val="center"/>
          </w:tcPr>
          <w:p>
            <w:pPr>
              <w:pStyle w:val="Standard"/>
              <w:widowControl w:val="false"/>
              <w:spacing w:lineRule="auto" w:line="360"/>
              <w:rPr>
                <w:rFonts w:ascii="Times New Roman" w:hAnsi="Times New Roman" w:cs="Times New Roman"/>
                <w:b/>
                <w:b/>
                <w:bCs/>
                <w:sz w:val="22"/>
                <w:szCs w:val="22"/>
              </w:rPr>
            </w:pPr>
            <w:r>
              <w:rPr>
                <w:rFonts w:cs="Times New Roman" w:ascii="Times New Roman" w:hAnsi="Times New Roman"/>
                <w:b/>
                <w:bCs/>
                <w:sz w:val="22"/>
                <w:szCs w:val="22"/>
              </w:rPr>
              <w:t>Płeć</w:t>
            </w:r>
          </w:p>
        </w:tc>
        <w:tc>
          <w:tcPr>
            <w:tcW w:w="2202" w:type="dxa"/>
            <w:tcBorders>
              <w:top w:val="single" w:sz="8" w:space="0" w:color="000000"/>
              <w:bottom w:val="single" w:sz="8" w:space="0" w:color="000000"/>
              <w:right w:val="single" w:sz="4" w:space="0" w:color="000000"/>
            </w:tcBorders>
            <w:shd w:color="auto" w:fill="00CC5C" w:val="clear"/>
            <w:vAlign w:val="center"/>
          </w:tcPr>
          <w:p>
            <w:pPr>
              <w:pStyle w:val="Standard"/>
              <w:widowControl w:val="false"/>
              <w:spacing w:lineRule="auto" w:line="360"/>
              <w:rPr>
                <w:rFonts w:ascii="Times New Roman" w:hAnsi="Times New Roman" w:cs="Times New Roman"/>
                <w:b/>
                <w:b/>
                <w:bCs/>
                <w:sz w:val="22"/>
                <w:szCs w:val="22"/>
              </w:rPr>
            </w:pPr>
            <w:r>
              <w:rPr>
                <w:rFonts w:cs="Times New Roman" w:ascii="Times New Roman" w:hAnsi="Times New Roman"/>
                <w:b/>
                <w:bCs/>
                <w:sz w:val="22"/>
                <w:szCs w:val="22"/>
              </w:rPr>
              <w:t>Wiek</w:t>
            </w:r>
          </w:p>
        </w:tc>
        <w:tc>
          <w:tcPr>
            <w:tcW w:w="1558" w:type="dxa"/>
            <w:tcBorders>
              <w:top w:val="single" w:sz="8" w:space="0" w:color="000000"/>
              <w:bottom w:val="single" w:sz="8" w:space="0" w:color="000000"/>
              <w:right w:val="single" w:sz="4" w:space="0" w:color="000000"/>
            </w:tcBorders>
            <w:shd w:color="auto" w:fill="00CC5C" w:val="clear"/>
            <w:vAlign w:val="center"/>
          </w:tcPr>
          <w:p>
            <w:pPr>
              <w:pStyle w:val="Standard"/>
              <w:widowControl w:val="false"/>
              <w:spacing w:lineRule="auto" w:line="360"/>
              <w:jc w:val="center"/>
              <w:rPr>
                <w:rFonts w:ascii="Times New Roman" w:hAnsi="Times New Roman" w:cs="Times New Roman"/>
                <w:b/>
                <w:b/>
                <w:bCs/>
                <w:sz w:val="22"/>
                <w:szCs w:val="22"/>
              </w:rPr>
            </w:pPr>
            <w:r>
              <w:rPr>
                <w:rFonts w:cs="Times New Roman" w:ascii="Times New Roman" w:hAnsi="Times New Roman"/>
                <w:b/>
                <w:bCs/>
                <w:sz w:val="22"/>
                <w:szCs w:val="22"/>
              </w:rPr>
              <w:t>2020</w:t>
            </w:r>
          </w:p>
        </w:tc>
        <w:tc>
          <w:tcPr>
            <w:tcW w:w="1562" w:type="dxa"/>
            <w:tcBorders>
              <w:top w:val="single" w:sz="8" w:space="0" w:color="000000"/>
              <w:bottom w:val="single" w:sz="8" w:space="0" w:color="000000"/>
              <w:right w:val="single" w:sz="4" w:space="0" w:color="000000"/>
            </w:tcBorders>
            <w:shd w:color="auto" w:fill="00CC5C" w:val="clear"/>
            <w:vAlign w:val="center"/>
          </w:tcPr>
          <w:p>
            <w:pPr>
              <w:pStyle w:val="Standard"/>
              <w:widowControl w:val="false"/>
              <w:spacing w:lineRule="auto" w:line="360"/>
              <w:jc w:val="center"/>
              <w:rPr>
                <w:rFonts w:ascii="Times New Roman" w:hAnsi="Times New Roman" w:cs="Times New Roman"/>
                <w:b/>
                <w:b/>
                <w:bCs/>
                <w:sz w:val="22"/>
                <w:szCs w:val="22"/>
              </w:rPr>
            </w:pPr>
            <w:r>
              <w:rPr>
                <w:rFonts w:cs="Times New Roman" w:ascii="Times New Roman" w:hAnsi="Times New Roman"/>
                <w:b/>
                <w:bCs/>
                <w:sz w:val="22"/>
                <w:szCs w:val="22"/>
              </w:rPr>
              <w:t>2025</w:t>
            </w:r>
          </w:p>
        </w:tc>
        <w:tc>
          <w:tcPr>
            <w:tcW w:w="1560" w:type="dxa"/>
            <w:tcBorders>
              <w:top w:val="single" w:sz="8" w:space="0" w:color="000000"/>
              <w:bottom w:val="single" w:sz="8" w:space="0" w:color="000000"/>
              <w:right w:val="single" w:sz="8" w:space="0" w:color="000000"/>
            </w:tcBorders>
            <w:shd w:color="auto" w:fill="00CC5C" w:val="clear"/>
            <w:vAlign w:val="center"/>
          </w:tcPr>
          <w:p>
            <w:pPr>
              <w:pStyle w:val="Standard"/>
              <w:widowControl w:val="false"/>
              <w:spacing w:lineRule="auto" w:line="360"/>
              <w:jc w:val="center"/>
              <w:rPr>
                <w:rFonts w:ascii="Times New Roman" w:hAnsi="Times New Roman" w:cs="Times New Roman"/>
                <w:b/>
                <w:b/>
                <w:bCs/>
                <w:sz w:val="22"/>
                <w:szCs w:val="22"/>
              </w:rPr>
            </w:pPr>
            <w:r>
              <w:rPr>
                <w:rFonts w:cs="Times New Roman" w:ascii="Times New Roman" w:hAnsi="Times New Roman"/>
                <w:b/>
                <w:bCs/>
                <w:sz w:val="22"/>
                <w:szCs w:val="22"/>
              </w:rPr>
              <w:t>2030</w:t>
            </w:r>
          </w:p>
        </w:tc>
      </w:tr>
      <w:tr>
        <w:trPr>
          <w:trHeight w:val="315" w:hRule="atLeast"/>
        </w:trPr>
        <w:tc>
          <w:tcPr>
            <w:tcW w:w="1558" w:type="dxa"/>
            <w:tcBorders>
              <w:left w:val="single" w:sz="8" w:space="0" w:color="000000"/>
              <w:right w:val="single" w:sz="4" w:space="0" w:color="000000"/>
            </w:tcBorders>
            <w:shd w:color="auto" w:fill="CCFF99" w:val="clear"/>
          </w:tcPr>
          <w:p>
            <w:pPr>
              <w:pStyle w:val="Standard"/>
              <w:widowControl w:val="false"/>
              <w:spacing w:lineRule="auto" w:line="360"/>
              <w:rPr>
                <w:rFonts w:ascii="Times New Roman" w:hAnsi="Times New Roman" w:cs="Times New Roman"/>
                <w:b/>
                <w:b/>
                <w:bCs/>
                <w:sz w:val="22"/>
                <w:szCs w:val="22"/>
              </w:rPr>
            </w:pPr>
            <w:r>
              <w:rPr>
                <w:rFonts w:cs="Times New Roman" w:ascii="Times New Roman" w:hAnsi="Times New Roman"/>
                <w:b/>
                <w:bCs/>
                <w:sz w:val="22"/>
                <w:szCs w:val="22"/>
              </w:rPr>
              <w:t>Ogółem</w:t>
            </w:r>
          </w:p>
        </w:tc>
        <w:tc>
          <w:tcPr>
            <w:tcW w:w="2202" w:type="dxa"/>
            <w:tcBorders>
              <w:bottom w:val="dashed" w:sz="4" w:space="0" w:color="000000"/>
              <w:right w:val="single" w:sz="8" w:space="0" w:color="000000"/>
            </w:tcBorders>
            <w:shd w:color="auto" w:fill="CCFF99" w:val="clear"/>
            <w:vAlign w:val="center"/>
          </w:tcPr>
          <w:p>
            <w:pPr>
              <w:pStyle w:val="Standard"/>
              <w:widowControl w:val="false"/>
              <w:spacing w:lineRule="auto" w:line="360"/>
              <w:rPr>
                <w:rFonts w:ascii="Times New Roman" w:hAnsi="Times New Roman" w:cs="Times New Roman"/>
                <w:b/>
                <w:b/>
                <w:bCs/>
                <w:sz w:val="22"/>
                <w:szCs w:val="22"/>
              </w:rPr>
            </w:pPr>
            <w:r>
              <w:rPr>
                <w:rFonts w:cs="Times New Roman" w:ascii="Times New Roman" w:hAnsi="Times New Roman"/>
                <w:b/>
                <w:bCs/>
                <w:sz w:val="22"/>
                <w:szCs w:val="22"/>
              </w:rPr>
              <w:t>Ogółem</w:t>
            </w:r>
          </w:p>
        </w:tc>
        <w:tc>
          <w:tcPr>
            <w:tcW w:w="1558"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b/>
                <w:b/>
                <w:bCs/>
                <w:sz w:val="22"/>
                <w:szCs w:val="22"/>
              </w:rPr>
            </w:pPr>
            <w:r>
              <w:rPr>
                <w:rFonts w:cs="Times New Roman" w:ascii="Times New Roman" w:hAnsi="Times New Roman"/>
                <w:b/>
                <w:bCs/>
                <w:sz w:val="22"/>
                <w:szCs w:val="22"/>
              </w:rPr>
              <w:t>7 917</w:t>
            </w:r>
          </w:p>
        </w:tc>
        <w:tc>
          <w:tcPr>
            <w:tcW w:w="1562"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b/>
                <w:b/>
                <w:bCs/>
                <w:sz w:val="22"/>
                <w:szCs w:val="22"/>
              </w:rPr>
            </w:pPr>
            <w:r>
              <w:rPr>
                <w:rFonts w:cs="Times New Roman" w:ascii="Times New Roman" w:hAnsi="Times New Roman"/>
                <w:b/>
                <w:bCs/>
                <w:sz w:val="22"/>
                <w:szCs w:val="22"/>
              </w:rPr>
              <w:t>7 792</w:t>
            </w:r>
          </w:p>
        </w:tc>
        <w:tc>
          <w:tcPr>
            <w:tcW w:w="1560" w:type="dxa"/>
            <w:tcBorders>
              <w:bottom w:val="dotted" w:sz="4" w:space="0" w:color="000000"/>
              <w:right w:val="single" w:sz="8" w:space="0" w:color="000000"/>
            </w:tcBorders>
            <w:shd w:color="auto" w:fill="auto" w:val="clear"/>
            <w:vAlign w:val="center"/>
          </w:tcPr>
          <w:p>
            <w:pPr>
              <w:pStyle w:val="Standard"/>
              <w:widowControl w:val="false"/>
              <w:spacing w:lineRule="auto" w:line="360"/>
              <w:jc w:val="right"/>
              <w:rPr>
                <w:rFonts w:ascii="Times New Roman" w:hAnsi="Times New Roman" w:cs="Times New Roman"/>
                <w:b/>
                <w:b/>
                <w:bCs/>
                <w:sz w:val="22"/>
                <w:szCs w:val="22"/>
              </w:rPr>
            </w:pPr>
            <w:r>
              <w:rPr>
                <w:rFonts w:cs="Times New Roman" w:ascii="Times New Roman" w:hAnsi="Times New Roman"/>
                <w:b/>
                <w:bCs/>
                <w:sz w:val="22"/>
                <w:szCs w:val="22"/>
              </w:rPr>
              <w:t>7 650</w:t>
            </w:r>
          </w:p>
        </w:tc>
      </w:tr>
      <w:tr>
        <w:trPr>
          <w:trHeight w:val="315" w:hRule="atLeast"/>
        </w:trPr>
        <w:tc>
          <w:tcPr>
            <w:tcW w:w="1558" w:type="dxa"/>
            <w:tcBorders>
              <w:left w:val="single" w:sz="8" w:space="0" w:color="000000"/>
              <w:right w:val="single" w:sz="4" w:space="0" w:color="000000"/>
            </w:tcBorders>
            <w:shd w:color="auto" w:fill="CCFF99"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 </w:t>
            </w:r>
          </w:p>
        </w:tc>
        <w:tc>
          <w:tcPr>
            <w:tcW w:w="2202" w:type="dxa"/>
            <w:tcBorders>
              <w:bottom w:val="dashed" w:sz="4" w:space="0" w:color="000000"/>
              <w:right w:val="single" w:sz="8" w:space="0" w:color="000000"/>
            </w:tcBorders>
            <w:shd w:color="auto" w:fill="CCFF99" w:val="clear"/>
            <w:vAlign w:val="cente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przedprodukcyjny 0-17</w:t>
            </w:r>
          </w:p>
        </w:tc>
        <w:tc>
          <w:tcPr>
            <w:tcW w:w="1558"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1 387</w:t>
            </w:r>
          </w:p>
        </w:tc>
        <w:tc>
          <w:tcPr>
            <w:tcW w:w="1562"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1 340</w:t>
            </w:r>
          </w:p>
        </w:tc>
        <w:tc>
          <w:tcPr>
            <w:tcW w:w="1560" w:type="dxa"/>
            <w:tcBorders>
              <w:bottom w:val="dotted" w:sz="4" w:space="0" w:color="000000"/>
              <w:right w:val="single" w:sz="8"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1 231</w:t>
            </w:r>
          </w:p>
        </w:tc>
      </w:tr>
      <w:tr>
        <w:trPr>
          <w:trHeight w:val="315" w:hRule="atLeast"/>
        </w:trPr>
        <w:tc>
          <w:tcPr>
            <w:tcW w:w="1558" w:type="dxa"/>
            <w:tcBorders>
              <w:left w:val="single" w:sz="8" w:space="0" w:color="000000"/>
              <w:right w:val="single" w:sz="4" w:space="0" w:color="000000"/>
            </w:tcBorders>
            <w:shd w:color="auto" w:fill="CCFF99"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 </w:t>
            </w:r>
          </w:p>
        </w:tc>
        <w:tc>
          <w:tcPr>
            <w:tcW w:w="2202" w:type="dxa"/>
            <w:tcBorders>
              <w:bottom w:val="dashed" w:sz="4" w:space="0" w:color="000000"/>
              <w:right w:val="single" w:sz="8" w:space="0" w:color="000000"/>
            </w:tcBorders>
            <w:shd w:color="auto" w:fill="CCFF99" w:val="clear"/>
            <w:vAlign w:val="cente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produkcyjny 18-59/64</w:t>
            </w:r>
          </w:p>
        </w:tc>
        <w:tc>
          <w:tcPr>
            <w:tcW w:w="1558"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4 876</w:t>
            </w:r>
          </w:p>
        </w:tc>
        <w:tc>
          <w:tcPr>
            <w:tcW w:w="1562"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4 657</w:t>
            </w:r>
          </w:p>
        </w:tc>
        <w:tc>
          <w:tcPr>
            <w:tcW w:w="1560" w:type="dxa"/>
            <w:tcBorders>
              <w:bottom w:val="dotted" w:sz="4" w:space="0" w:color="000000"/>
              <w:right w:val="single" w:sz="8"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4 547</w:t>
            </w:r>
          </w:p>
        </w:tc>
      </w:tr>
      <w:tr>
        <w:trPr>
          <w:trHeight w:val="315" w:hRule="atLeast"/>
        </w:trPr>
        <w:tc>
          <w:tcPr>
            <w:tcW w:w="1558" w:type="dxa"/>
            <w:tcBorders>
              <w:left w:val="single" w:sz="8" w:space="0" w:color="000000"/>
              <w:right w:val="single" w:sz="4" w:space="0" w:color="000000"/>
            </w:tcBorders>
            <w:shd w:color="auto" w:fill="CCFF99"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 </w:t>
            </w:r>
          </w:p>
        </w:tc>
        <w:tc>
          <w:tcPr>
            <w:tcW w:w="2202" w:type="dxa"/>
            <w:tcBorders>
              <w:bottom w:val="dashed" w:sz="4" w:space="0" w:color="000000"/>
              <w:right w:val="single" w:sz="8" w:space="0" w:color="000000"/>
            </w:tcBorders>
            <w:shd w:color="auto" w:fill="CCFF99" w:val="clear"/>
            <w:vAlign w:val="cente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mobilny 18-44</w:t>
            </w:r>
          </w:p>
        </w:tc>
        <w:tc>
          <w:tcPr>
            <w:tcW w:w="1558"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2 963</w:t>
            </w:r>
          </w:p>
        </w:tc>
        <w:tc>
          <w:tcPr>
            <w:tcW w:w="1562"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2 673</w:t>
            </w:r>
          </w:p>
        </w:tc>
        <w:tc>
          <w:tcPr>
            <w:tcW w:w="1560" w:type="dxa"/>
            <w:tcBorders>
              <w:bottom w:val="dotted" w:sz="4" w:space="0" w:color="000000"/>
              <w:right w:val="single" w:sz="8"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2 442</w:t>
            </w:r>
          </w:p>
        </w:tc>
      </w:tr>
      <w:tr>
        <w:trPr>
          <w:trHeight w:val="315" w:hRule="atLeast"/>
        </w:trPr>
        <w:tc>
          <w:tcPr>
            <w:tcW w:w="1558" w:type="dxa"/>
            <w:tcBorders>
              <w:left w:val="single" w:sz="8" w:space="0" w:color="000000"/>
              <w:right w:val="single" w:sz="4" w:space="0" w:color="000000"/>
            </w:tcBorders>
            <w:shd w:color="auto" w:fill="CCFF99"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 </w:t>
            </w:r>
          </w:p>
        </w:tc>
        <w:tc>
          <w:tcPr>
            <w:tcW w:w="2202" w:type="dxa"/>
            <w:tcBorders>
              <w:bottom w:val="dashed" w:sz="4" w:space="0" w:color="000000"/>
              <w:right w:val="single" w:sz="8" w:space="0" w:color="000000"/>
            </w:tcBorders>
            <w:shd w:color="auto" w:fill="CCFF99" w:val="clear"/>
            <w:vAlign w:val="cente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niemobilny  44-59/64</w:t>
            </w:r>
          </w:p>
        </w:tc>
        <w:tc>
          <w:tcPr>
            <w:tcW w:w="1558"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1 913</w:t>
            </w:r>
          </w:p>
        </w:tc>
        <w:tc>
          <w:tcPr>
            <w:tcW w:w="1562"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1 984</w:t>
            </w:r>
          </w:p>
        </w:tc>
        <w:tc>
          <w:tcPr>
            <w:tcW w:w="1560" w:type="dxa"/>
            <w:tcBorders>
              <w:bottom w:val="dotted" w:sz="4" w:space="0" w:color="000000"/>
              <w:right w:val="single" w:sz="8"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2 105</w:t>
            </w:r>
          </w:p>
        </w:tc>
      </w:tr>
      <w:tr>
        <w:trPr>
          <w:trHeight w:val="315" w:hRule="atLeast"/>
        </w:trPr>
        <w:tc>
          <w:tcPr>
            <w:tcW w:w="1558" w:type="dxa"/>
            <w:tcBorders>
              <w:left w:val="single" w:sz="8" w:space="0" w:color="000000"/>
              <w:right w:val="single" w:sz="4" w:space="0" w:color="000000"/>
            </w:tcBorders>
            <w:shd w:color="auto" w:fill="CCFF99"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 </w:t>
            </w:r>
          </w:p>
        </w:tc>
        <w:tc>
          <w:tcPr>
            <w:tcW w:w="2202" w:type="dxa"/>
            <w:tcBorders>
              <w:bottom w:val="dashed" w:sz="4" w:space="0" w:color="000000"/>
              <w:right w:val="single" w:sz="8" w:space="0" w:color="000000"/>
            </w:tcBorders>
            <w:shd w:color="auto" w:fill="CCFF99" w:val="clear"/>
            <w:vAlign w:val="cente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poprodukcyjny 60+/65+</w:t>
            </w:r>
          </w:p>
        </w:tc>
        <w:tc>
          <w:tcPr>
            <w:tcW w:w="1558"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1 654</w:t>
            </w:r>
          </w:p>
        </w:tc>
        <w:tc>
          <w:tcPr>
            <w:tcW w:w="1562"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1 795</w:t>
            </w:r>
          </w:p>
        </w:tc>
        <w:tc>
          <w:tcPr>
            <w:tcW w:w="1560" w:type="dxa"/>
            <w:tcBorders>
              <w:bottom w:val="dotted" w:sz="4" w:space="0" w:color="000000"/>
              <w:right w:val="single" w:sz="8"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1 872</w:t>
            </w:r>
          </w:p>
        </w:tc>
      </w:tr>
      <w:tr>
        <w:trPr>
          <w:trHeight w:val="315" w:hRule="atLeast"/>
        </w:trPr>
        <w:tc>
          <w:tcPr>
            <w:tcW w:w="1558" w:type="dxa"/>
            <w:tcBorders>
              <w:left w:val="single" w:sz="8" w:space="0" w:color="000000"/>
              <w:right w:val="single" w:sz="4" w:space="0" w:color="000000"/>
            </w:tcBorders>
            <w:shd w:color="auto" w:fill="CCFF99"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 </w:t>
            </w:r>
          </w:p>
        </w:tc>
        <w:tc>
          <w:tcPr>
            <w:tcW w:w="2202" w:type="dxa"/>
            <w:tcBorders>
              <w:bottom w:val="dashed" w:sz="4" w:space="0" w:color="000000"/>
              <w:right w:val="single" w:sz="8" w:space="0" w:color="000000"/>
            </w:tcBorders>
            <w:shd w:color="auto" w:fill="CCFF99" w:val="clear"/>
            <w:vAlign w:val="cente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0-14</w:t>
            </w:r>
          </w:p>
        </w:tc>
        <w:tc>
          <w:tcPr>
            <w:tcW w:w="1558"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1 148</w:t>
            </w:r>
          </w:p>
        </w:tc>
        <w:tc>
          <w:tcPr>
            <w:tcW w:w="1562"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1 061</w:t>
            </w:r>
          </w:p>
        </w:tc>
        <w:tc>
          <w:tcPr>
            <w:tcW w:w="1560" w:type="dxa"/>
            <w:tcBorders>
              <w:bottom w:val="dotted" w:sz="4" w:space="0" w:color="000000"/>
              <w:right w:val="single" w:sz="8"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1 041</w:t>
            </w:r>
          </w:p>
        </w:tc>
      </w:tr>
      <w:tr>
        <w:trPr>
          <w:trHeight w:val="315" w:hRule="atLeast"/>
        </w:trPr>
        <w:tc>
          <w:tcPr>
            <w:tcW w:w="1558" w:type="dxa"/>
            <w:tcBorders>
              <w:left w:val="single" w:sz="8" w:space="0" w:color="000000"/>
              <w:right w:val="single" w:sz="4" w:space="0" w:color="000000"/>
            </w:tcBorders>
            <w:shd w:color="auto" w:fill="CCFF99"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 </w:t>
            </w:r>
          </w:p>
        </w:tc>
        <w:tc>
          <w:tcPr>
            <w:tcW w:w="2202" w:type="dxa"/>
            <w:tcBorders>
              <w:bottom w:val="dashed" w:sz="4" w:space="0" w:color="000000"/>
              <w:right w:val="single" w:sz="8" w:space="0" w:color="000000"/>
            </w:tcBorders>
            <w:shd w:color="auto" w:fill="CCFF99" w:val="clear"/>
            <w:vAlign w:val="cente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15-59</w:t>
            </w:r>
          </w:p>
        </w:tc>
        <w:tc>
          <w:tcPr>
            <w:tcW w:w="1558"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4 834</w:t>
            </w:r>
          </w:p>
        </w:tc>
        <w:tc>
          <w:tcPr>
            <w:tcW w:w="1562"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4 708</w:t>
            </w:r>
          </w:p>
        </w:tc>
        <w:tc>
          <w:tcPr>
            <w:tcW w:w="1560" w:type="dxa"/>
            <w:tcBorders>
              <w:bottom w:val="dotted" w:sz="4" w:space="0" w:color="000000"/>
              <w:right w:val="single" w:sz="8"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4 516</w:t>
            </w:r>
          </w:p>
        </w:tc>
      </w:tr>
      <w:tr>
        <w:trPr>
          <w:trHeight w:val="315" w:hRule="atLeast"/>
        </w:trPr>
        <w:tc>
          <w:tcPr>
            <w:tcW w:w="1558" w:type="dxa"/>
            <w:tcBorders>
              <w:left w:val="single" w:sz="8" w:space="0" w:color="000000"/>
              <w:right w:val="single" w:sz="4" w:space="0" w:color="000000"/>
            </w:tcBorders>
            <w:shd w:color="auto" w:fill="CCFF99"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 </w:t>
            </w:r>
          </w:p>
        </w:tc>
        <w:tc>
          <w:tcPr>
            <w:tcW w:w="2202" w:type="dxa"/>
            <w:tcBorders>
              <w:right w:val="single" w:sz="8" w:space="0" w:color="000000"/>
            </w:tcBorders>
            <w:shd w:color="auto" w:fill="CCFF99" w:val="clear"/>
            <w:vAlign w:val="cente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60+</w:t>
            </w:r>
          </w:p>
        </w:tc>
        <w:tc>
          <w:tcPr>
            <w:tcW w:w="1558"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1 935</w:t>
            </w:r>
          </w:p>
        </w:tc>
        <w:tc>
          <w:tcPr>
            <w:tcW w:w="1562"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2 023</w:t>
            </w:r>
          </w:p>
        </w:tc>
        <w:tc>
          <w:tcPr>
            <w:tcW w:w="1560" w:type="dxa"/>
            <w:tcBorders>
              <w:bottom w:val="dotted" w:sz="4" w:space="0" w:color="000000"/>
              <w:right w:val="single" w:sz="8"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2 093</w:t>
            </w:r>
          </w:p>
        </w:tc>
      </w:tr>
      <w:tr>
        <w:trPr>
          <w:trHeight w:val="315" w:hRule="atLeast"/>
        </w:trPr>
        <w:tc>
          <w:tcPr>
            <w:tcW w:w="1558" w:type="dxa"/>
            <w:tcBorders>
              <w:left w:val="single" w:sz="8" w:space="0" w:color="000000"/>
              <w:right w:val="single" w:sz="4" w:space="0" w:color="000000"/>
            </w:tcBorders>
            <w:shd w:color="auto" w:fill="CCFF99"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 </w:t>
            </w:r>
          </w:p>
        </w:tc>
        <w:tc>
          <w:tcPr>
            <w:tcW w:w="2202" w:type="dxa"/>
            <w:tcBorders>
              <w:top w:val="dashed" w:sz="4" w:space="0" w:color="000000"/>
              <w:right w:val="single" w:sz="8" w:space="0" w:color="000000"/>
            </w:tcBorders>
            <w:shd w:color="auto" w:fill="CCFF99" w:val="clear"/>
            <w:vAlign w:val="cente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15-64</w:t>
            </w:r>
          </w:p>
        </w:tc>
        <w:tc>
          <w:tcPr>
            <w:tcW w:w="1558"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5 416</w:t>
            </w:r>
          </w:p>
        </w:tc>
        <w:tc>
          <w:tcPr>
            <w:tcW w:w="1562"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5 193</w:t>
            </w:r>
          </w:p>
        </w:tc>
        <w:tc>
          <w:tcPr>
            <w:tcW w:w="1560" w:type="dxa"/>
            <w:tcBorders>
              <w:bottom w:val="dotted" w:sz="4" w:space="0" w:color="000000"/>
              <w:right w:val="single" w:sz="8"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4 981</w:t>
            </w:r>
          </w:p>
        </w:tc>
      </w:tr>
      <w:tr>
        <w:trPr>
          <w:trHeight w:val="315" w:hRule="atLeast"/>
        </w:trPr>
        <w:tc>
          <w:tcPr>
            <w:tcW w:w="1558" w:type="dxa"/>
            <w:tcBorders>
              <w:left w:val="single" w:sz="8" w:space="0" w:color="000000"/>
              <w:right w:val="single" w:sz="4" w:space="0" w:color="000000"/>
            </w:tcBorders>
            <w:shd w:color="auto" w:fill="CCFF99"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 </w:t>
            </w:r>
          </w:p>
        </w:tc>
        <w:tc>
          <w:tcPr>
            <w:tcW w:w="2202" w:type="dxa"/>
            <w:tcBorders>
              <w:top w:val="dashed" w:sz="4" w:space="0" w:color="000000"/>
              <w:right w:val="single" w:sz="8" w:space="0" w:color="000000"/>
            </w:tcBorders>
            <w:shd w:color="auto" w:fill="CCFF99" w:val="clear"/>
            <w:vAlign w:val="cente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65+</w:t>
            </w:r>
          </w:p>
        </w:tc>
        <w:tc>
          <w:tcPr>
            <w:tcW w:w="1558"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1 353</w:t>
            </w:r>
          </w:p>
        </w:tc>
        <w:tc>
          <w:tcPr>
            <w:tcW w:w="1562"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1 538</w:t>
            </w:r>
          </w:p>
        </w:tc>
        <w:tc>
          <w:tcPr>
            <w:tcW w:w="1560" w:type="dxa"/>
            <w:tcBorders>
              <w:bottom w:val="dotted" w:sz="4" w:space="0" w:color="000000"/>
              <w:right w:val="single" w:sz="8"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1 628</w:t>
            </w:r>
          </w:p>
        </w:tc>
      </w:tr>
      <w:tr>
        <w:trPr>
          <w:trHeight w:val="315" w:hRule="atLeast"/>
        </w:trPr>
        <w:tc>
          <w:tcPr>
            <w:tcW w:w="1558" w:type="dxa"/>
            <w:tcBorders>
              <w:left w:val="single" w:sz="8" w:space="0" w:color="000000"/>
              <w:right w:val="single" w:sz="4" w:space="0" w:color="000000"/>
            </w:tcBorders>
            <w:shd w:color="auto" w:fill="CCFF99"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 </w:t>
            </w:r>
          </w:p>
        </w:tc>
        <w:tc>
          <w:tcPr>
            <w:tcW w:w="2202" w:type="dxa"/>
            <w:tcBorders>
              <w:top w:val="dashed" w:sz="4" w:space="0" w:color="000000"/>
              <w:bottom w:val="single" w:sz="8" w:space="0" w:color="000000"/>
              <w:right w:val="single" w:sz="8" w:space="0" w:color="000000"/>
            </w:tcBorders>
            <w:shd w:color="auto" w:fill="CCFF99" w:val="clear"/>
            <w:vAlign w:val="cente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80+</w:t>
            </w:r>
          </w:p>
        </w:tc>
        <w:tc>
          <w:tcPr>
            <w:tcW w:w="1558"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341</w:t>
            </w:r>
          </w:p>
        </w:tc>
        <w:tc>
          <w:tcPr>
            <w:tcW w:w="1562"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292</w:t>
            </w:r>
          </w:p>
        </w:tc>
        <w:tc>
          <w:tcPr>
            <w:tcW w:w="1560" w:type="dxa"/>
            <w:tcBorders>
              <w:bottom w:val="dotted" w:sz="4" w:space="0" w:color="000000"/>
              <w:right w:val="single" w:sz="8"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366</w:t>
            </w:r>
          </w:p>
        </w:tc>
      </w:tr>
      <w:tr>
        <w:trPr>
          <w:trHeight w:val="315" w:hRule="atLeast"/>
        </w:trPr>
        <w:tc>
          <w:tcPr>
            <w:tcW w:w="1558" w:type="dxa"/>
            <w:tcBorders>
              <w:top w:val="single" w:sz="8" w:space="0" w:color="000000"/>
              <w:left w:val="single" w:sz="8" w:space="0" w:color="000000"/>
              <w:right w:val="single" w:sz="4" w:space="0" w:color="000000"/>
            </w:tcBorders>
            <w:shd w:color="auto" w:fill="F3E6B7" w:val="clear"/>
          </w:tcPr>
          <w:p>
            <w:pPr>
              <w:pStyle w:val="Standard"/>
              <w:widowControl w:val="false"/>
              <w:spacing w:lineRule="auto" w:line="360"/>
              <w:rPr>
                <w:rFonts w:ascii="Times New Roman" w:hAnsi="Times New Roman" w:cs="Times New Roman"/>
                <w:b/>
                <w:b/>
                <w:bCs/>
                <w:sz w:val="22"/>
                <w:szCs w:val="22"/>
              </w:rPr>
            </w:pPr>
            <w:r>
              <w:rPr>
                <w:rFonts w:cs="Times New Roman" w:ascii="Times New Roman" w:hAnsi="Times New Roman"/>
                <w:b/>
                <w:bCs/>
                <w:sz w:val="22"/>
                <w:szCs w:val="22"/>
              </w:rPr>
              <w:t>Mężczyźni</w:t>
            </w:r>
          </w:p>
        </w:tc>
        <w:tc>
          <w:tcPr>
            <w:tcW w:w="2202" w:type="dxa"/>
            <w:tcBorders>
              <w:bottom w:val="dashed" w:sz="4" w:space="0" w:color="000000"/>
              <w:right w:val="single" w:sz="8" w:space="0" w:color="000000"/>
            </w:tcBorders>
            <w:shd w:color="auto" w:fill="F3E6B7" w:val="clear"/>
          </w:tcPr>
          <w:p>
            <w:pPr>
              <w:pStyle w:val="Standard"/>
              <w:widowControl w:val="false"/>
              <w:spacing w:lineRule="auto" w:line="360"/>
              <w:rPr>
                <w:rFonts w:ascii="Times New Roman" w:hAnsi="Times New Roman" w:cs="Times New Roman"/>
                <w:b/>
                <w:b/>
                <w:bCs/>
                <w:sz w:val="22"/>
                <w:szCs w:val="22"/>
              </w:rPr>
            </w:pPr>
            <w:r>
              <w:rPr>
                <w:rFonts w:cs="Times New Roman" w:ascii="Times New Roman" w:hAnsi="Times New Roman"/>
                <w:b/>
                <w:bCs/>
                <w:sz w:val="22"/>
                <w:szCs w:val="22"/>
              </w:rPr>
              <w:t>Ogółem</w:t>
            </w:r>
          </w:p>
        </w:tc>
        <w:tc>
          <w:tcPr>
            <w:tcW w:w="1558" w:type="dxa"/>
            <w:tcBorders>
              <w:top w:val="single" w:sz="8" w:space="0" w:color="000000"/>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b/>
                <w:b/>
                <w:bCs/>
                <w:sz w:val="22"/>
                <w:szCs w:val="22"/>
              </w:rPr>
            </w:pPr>
            <w:r>
              <w:rPr>
                <w:rFonts w:cs="Times New Roman" w:ascii="Times New Roman" w:hAnsi="Times New Roman"/>
                <w:b/>
                <w:bCs/>
                <w:sz w:val="22"/>
                <w:szCs w:val="22"/>
              </w:rPr>
              <w:t>3 975</w:t>
            </w:r>
          </w:p>
        </w:tc>
        <w:tc>
          <w:tcPr>
            <w:tcW w:w="1562" w:type="dxa"/>
            <w:tcBorders>
              <w:top w:val="single" w:sz="8" w:space="0" w:color="000000"/>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b/>
                <w:b/>
                <w:bCs/>
                <w:sz w:val="22"/>
                <w:szCs w:val="22"/>
              </w:rPr>
            </w:pPr>
            <w:r>
              <w:rPr>
                <w:rFonts w:cs="Times New Roman" w:ascii="Times New Roman" w:hAnsi="Times New Roman"/>
                <w:b/>
                <w:bCs/>
                <w:sz w:val="22"/>
                <w:szCs w:val="22"/>
              </w:rPr>
              <w:t>3 922</w:t>
            </w:r>
          </w:p>
        </w:tc>
        <w:tc>
          <w:tcPr>
            <w:tcW w:w="1560" w:type="dxa"/>
            <w:tcBorders>
              <w:top w:val="single" w:sz="8" w:space="0" w:color="000000"/>
              <w:bottom w:val="dotted" w:sz="4" w:space="0" w:color="000000"/>
              <w:right w:val="single" w:sz="8" w:space="0" w:color="000000"/>
            </w:tcBorders>
            <w:shd w:color="auto" w:fill="auto" w:val="clear"/>
            <w:vAlign w:val="center"/>
          </w:tcPr>
          <w:p>
            <w:pPr>
              <w:pStyle w:val="Standard"/>
              <w:widowControl w:val="false"/>
              <w:spacing w:lineRule="auto" w:line="360"/>
              <w:jc w:val="right"/>
              <w:rPr>
                <w:rFonts w:ascii="Times New Roman" w:hAnsi="Times New Roman" w:cs="Times New Roman"/>
                <w:b/>
                <w:b/>
                <w:bCs/>
                <w:sz w:val="22"/>
                <w:szCs w:val="22"/>
              </w:rPr>
            </w:pPr>
            <w:r>
              <w:rPr>
                <w:rFonts w:cs="Times New Roman" w:ascii="Times New Roman" w:hAnsi="Times New Roman"/>
                <w:b/>
                <w:bCs/>
                <w:sz w:val="22"/>
                <w:szCs w:val="22"/>
              </w:rPr>
              <w:t>3 828</w:t>
            </w:r>
          </w:p>
        </w:tc>
      </w:tr>
      <w:tr>
        <w:trPr>
          <w:trHeight w:val="315" w:hRule="atLeast"/>
        </w:trPr>
        <w:tc>
          <w:tcPr>
            <w:tcW w:w="1558" w:type="dxa"/>
            <w:tcBorders>
              <w:left w:val="single" w:sz="8" w:space="0" w:color="000000"/>
              <w:right w:val="single" w:sz="4" w:space="0" w:color="000000"/>
            </w:tcBorders>
            <w:shd w:color="auto" w:fill="F3E6B7"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 </w:t>
            </w:r>
          </w:p>
        </w:tc>
        <w:tc>
          <w:tcPr>
            <w:tcW w:w="2202" w:type="dxa"/>
            <w:tcBorders>
              <w:bottom w:val="dashed" w:sz="4" w:space="0" w:color="000000"/>
              <w:right w:val="single" w:sz="8" w:space="0" w:color="000000"/>
            </w:tcBorders>
            <w:shd w:color="auto" w:fill="F3E6B7"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przedprodukcyjny 0-17</w:t>
            </w:r>
          </w:p>
        </w:tc>
        <w:tc>
          <w:tcPr>
            <w:tcW w:w="1558"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735</w:t>
            </w:r>
          </w:p>
        </w:tc>
        <w:tc>
          <w:tcPr>
            <w:tcW w:w="1562"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710</w:t>
            </w:r>
          </w:p>
        </w:tc>
        <w:tc>
          <w:tcPr>
            <w:tcW w:w="1560" w:type="dxa"/>
            <w:tcBorders>
              <w:bottom w:val="dotted" w:sz="4" w:space="0" w:color="000000"/>
              <w:right w:val="single" w:sz="8"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661</w:t>
            </w:r>
          </w:p>
        </w:tc>
      </w:tr>
      <w:tr>
        <w:trPr>
          <w:trHeight w:val="315" w:hRule="atLeast"/>
        </w:trPr>
        <w:tc>
          <w:tcPr>
            <w:tcW w:w="1558" w:type="dxa"/>
            <w:tcBorders>
              <w:left w:val="single" w:sz="8" w:space="0" w:color="000000"/>
              <w:right w:val="single" w:sz="4" w:space="0" w:color="000000"/>
            </w:tcBorders>
            <w:shd w:color="auto" w:fill="F3E6B7"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 </w:t>
            </w:r>
          </w:p>
        </w:tc>
        <w:tc>
          <w:tcPr>
            <w:tcW w:w="2202" w:type="dxa"/>
            <w:tcBorders>
              <w:bottom w:val="dashed" w:sz="4" w:space="0" w:color="000000"/>
              <w:right w:val="single" w:sz="8" w:space="0" w:color="000000"/>
            </w:tcBorders>
            <w:shd w:color="auto" w:fill="F3E6B7"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produkcyjny 18-64</w:t>
            </w:r>
          </w:p>
        </w:tc>
        <w:tc>
          <w:tcPr>
            <w:tcW w:w="1558"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2 653</w:t>
            </w:r>
          </w:p>
        </w:tc>
        <w:tc>
          <w:tcPr>
            <w:tcW w:w="1562"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2 528</w:t>
            </w:r>
          </w:p>
        </w:tc>
        <w:tc>
          <w:tcPr>
            <w:tcW w:w="1560" w:type="dxa"/>
            <w:tcBorders>
              <w:bottom w:val="dotted" w:sz="4" w:space="0" w:color="000000"/>
              <w:right w:val="single" w:sz="8"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2 455</w:t>
            </w:r>
          </w:p>
        </w:tc>
      </w:tr>
      <w:tr>
        <w:trPr>
          <w:trHeight w:val="315" w:hRule="atLeast"/>
        </w:trPr>
        <w:tc>
          <w:tcPr>
            <w:tcW w:w="1558" w:type="dxa"/>
            <w:tcBorders>
              <w:left w:val="single" w:sz="8" w:space="0" w:color="000000"/>
              <w:right w:val="single" w:sz="4" w:space="0" w:color="000000"/>
            </w:tcBorders>
            <w:shd w:color="auto" w:fill="F3E6B7"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 </w:t>
            </w:r>
          </w:p>
        </w:tc>
        <w:tc>
          <w:tcPr>
            <w:tcW w:w="2202" w:type="dxa"/>
            <w:tcBorders>
              <w:bottom w:val="dashed" w:sz="4" w:space="0" w:color="000000"/>
              <w:right w:val="single" w:sz="8" w:space="0" w:color="000000"/>
            </w:tcBorders>
            <w:shd w:color="auto" w:fill="F3E6B7"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mobilny 18-44</w:t>
            </w:r>
          </w:p>
        </w:tc>
        <w:tc>
          <w:tcPr>
            <w:tcW w:w="1558"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1 530</w:t>
            </w:r>
          </w:p>
        </w:tc>
        <w:tc>
          <w:tcPr>
            <w:tcW w:w="1562"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1 383</w:t>
            </w:r>
          </w:p>
        </w:tc>
        <w:tc>
          <w:tcPr>
            <w:tcW w:w="1560" w:type="dxa"/>
            <w:tcBorders>
              <w:bottom w:val="dotted" w:sz="4" w:space="0" w:color="000000"/>
              <w:right w:val="single" w:sz="8"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1 275</w:t>
            </w:r>
          </w:p>
        </w:tc>
      </w:tr>
      <w:tr>
        <w:trPr>
          <w:trHeight w:val="315" w:hRule="atLeast"/>
        </w:trPr>
        <w:tc>
          <w:tcPr>
            <w:tcW w:w="1558" w:type="dxa"/>
            <w:tcBorders>
              <w:left w:val="single" w:sz="8" w:space="0" w:color="000000"/>
              <w:right w:val="single" w:sz="4" w:space="0" w:color="000000"/>
            </w:tcBorders>
            <w:shd w:color="auto" w:fill="F3E6B7"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 </w:t>
            </w:r>
          </w:p>
        </w:tc>
        <w:tc>
          <w:tcPr>
            <w:tcW w:w="2202" w:type="dxa"/>
            <w:tcBorders>
              <w:bottom w:val="dashed" w:sz="4" w:space="0" w:color="000000"/>
              <w:right w:val="single" w:sz="8" w:space="0" w:color="000000"/>
            </w:tcBorders>
            <w:shd w:color="auto" w:fill="F3E6B7"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niemobilny  44-64</w:t>
            </w:r>
          </w:p>
        </w:tc>
        <w:tc>
          <w:tcPr>
            <w:tcW w:w="1558"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1 123</w:t>
            </w:r>
          </w:p>
        </w:tc>
        <w:tc>
          <w:tcPr>
            <w:tcW w:w="1562"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1 145</w:t>
            </w:r>
          </w:p>
        </w:tc>
        <w:tc>
          <w:tcPr>
            <w:tcW w:w="1560" w:type="dxa"/>
            <w:tcBorders>
              <w:bottom w:val="dotted" w:sz="4" w:space="0" w:color="000000"/>
              <w:right w:val="single" w:sz="8"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1 180</w:t>
            </w:r>
          </w:p>
        </w:tc>
      </w:tr>
      <w:tr>
        <w:trPr>
          <w:trHeight w:val="315" w:hRule="atLeast"/>
        </w:trPr>
        <w:tc>
          <w:tcPr>
            <w:tcW w:w="1558" w:type="dxa"/>
            <w:tcBorders>
              <w:left w:val="single" w:sz="8" w:space="0" w:color="000000"/>
              <w:right w:val="single" w:sz="4" w:space="0" w:color="000000"/>
            </w:tcBorders>
            <w:shd w:color="auto" w:fill="F3E6B7"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 </w:t>
            </w:r>
          </w:p>
        </w:tc>
        <w:tc>
          <w:tcPr>
            <w:tcW w:w="2202" w:type="dxa"/>
            <w:tcBorders>
              <w:bottom w:val="dashed" w:sz="4" w:space="0" w:color="000000"/>
              <w:right w:val="single" w:sz="8" w:space="0" w:color="000000"/>
            </w:tcBorders>
            <w:shd w:color="auto" w:fill="F3E6B7"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poprodukcyjny 65+</w:t>
            </w:r>
          </w:p>
        </w:tc>
        <w:tc>
          <w:tcPr>
            <w:tcW w:w="1558"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587</w:t>
            </w:r>
          </w:p>
        </w:tc>
        <w:tc>
          <w:tcPr>
            <w:tcW w:w="1562"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684</w:t>
            </w:r>
          </w:p>
        </w:tc>
        <w:tc>
          <w:tcPr>
            <w:tcW w:w="1560" w:type="dxa"/>
            <w:tcBorders>
              <w:bottom w:val="dotted" w:sz="4" w:space="0" w:color="000000"/>
              <w:right w:val="single" w:sz="8"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712</w:t>
            </w:r>
          </w:p>
        </w:tc>
      </w:tr>
      <w:tr>
        <w:trPr>
          <w:trHeight w:val="315" w:hRule="atLeast"/>
        </w:trPr>
        <w:tc>
          <w:tcPr>
            <w:tcW w:w="1558" w:type="dxa"/>
            <w:tcBorders>
              <w:left w:val="single" w:sz="8" w:space="0" w:color="000000"/>
              <w:right w:val="single" w:sz="4" w:space="0" w:color="000000"/>
            </w:tcBorders>
            <w:shd w:color="auto" w:fill="F3E6B7"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 </w:t>
            </w:r>
          </w:p>
        </w:tc>
        <w:tc>
          <w:tcPr>
            <w:tcW w:w="2202" w:type="dxa"/>
            <w:tcBorders>
              <w:bottom w:val="dashed" w:sz="4" w:space="0" w:color="000000"/>
              <w:right w:val="single" w:sz="8" w:space="0" w:color="000000"/>
            </w:tcBorders>
            <w:shd w:color="auto" w:fill="F3E6B7"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0-14</w:t>
            </w:r>
          </w:p>
        </w:tc>
        <w:tc>
          <w:tcPr>
            <w:tcW w:w="1558"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605</w:t>
            </w:r>
          </w:p>
        </w:tc>
        <w:tc>
          <w:tcPr>
            <w:tcW w:w="1562"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563</w:t>
            </w:r>
          </w:p>
        </w:tc>
        <w:tc>
          <w:tcPr>
            <w:tcW w:w="1560" w:type="dxa"/>
            <w:tcBorders>
              <w:bottom w:val="dotted" w:sz="4" w:space="0" w:color="000000"/>
              <w:right w:val="single" w:sz="8"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554</w:t>
            </w:r>
          </w:p>
        </w:tc>
      </w:tr>
      <w:tr>
        <w:trPr>
          <w:trHeight w:val="315" w:hRule="atLeast"/>
        </w:trPr>
        <w:tc>
          <w:tcPr>
            <w:tcW w:w="1558" w:type="dxa"/>
            <w:tcBorders>
              <w:left w:val="single" w:sz="8" w:space="0" w:color="000000"/>
              <w:right w:val="single" w:sz="4" w:space="0" w:color="000000"/>
            </w:tcBorders>
            <w:shd w:color="auto" w:fill="F3E6B7"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 </w:t>
            </w:r>
          </w:p>
        </w:tc>
        <w:tc>
          <w:tcPr>
            <w:tcW w:w="2202" w:type="dxa"/>
            <w:tcBorders>
              <w:bottom w:val="dashed" w:sz="4" w:space="0" w:color="000000"/>
              <w:right w:val="single" w:sz="8" w:space="0" w:color="000000"/>
            </w:tcBorders>
            <w:shd w:color="auto" w:fill="F3E6B7"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15-59</w:t>
            </w:r>
          </w:p>
        </w:tc>
        <w:tc>
          <w:tcPr>
            <w:tcW w:w="1558"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2 502</w:t>
            </w:r>
          </w:p>
        </w:tc>
        <w:tc>
          <w:tcPr>
            <w:tcW w:w="1562"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2 447</w:t>
            </w:r>
          </w:p>
        </w:tc>
        <w:tc>
          <w:tcPr>
            <w:tcW w:w="1560" w:type="dxa"/>
            <w:tcBorders>
              <w:bottom w:val="dotted" w:sz="4" w:space="0" w:color="000000"/>
              <w:right w:val="single" w:sz="8"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2 341</w:t>
            </w:r>
          </w:p>
        </w:tc>
      </w:tr>
      <w:tr>
        <w:trPr>
          <w:trHeight w:val="315" w:hRule="atLeast"/>
        </w:trPr>
        <w:tc>
          <w:tcPr>
            <w:tcW w:w="1558" w:type="dxa"/>
            <w:tcBorders>
              <w:left w:val="single" w:sz="8" w:space="0" w:color="000000"/>
              <w:right w:val="single" w:sz="4" w:space="0" w:color="000000"/>
            </w:tcBorders>
            <w:shd w:color="auto" w:fill="F3E6B7"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 </w:t>
            </w:r>
          </w:p>
        </w:tc>
        <w:tc>
          <w:tcPr>
            <w:tcW w:w="2202" w:type="dxa"/>
            <w:tcBorders>
              <w:bottom w:val="dashed" w:sz="4" w:space="0" w:color="000000"/>
              <w:right w:val="single" w:sz="8" w:space="0" w:color="000000"/>
            </w:tcBorders>
            <w:shd w:color="auto" w:fill="F3E6B7"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60+</w:t>
            </w:r>
          </w:p>
        </w:tc>
        <w:tc>
          <w:tcPr>
            <w:tcW w:w="1558"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868</w:t>
            </w:r>
          </w:p>
        </w:tc>
        <w:tc>
          <w:tcPr>
            <w:tcW w:w="1562"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912</w:t>
            </w:r>
          </w:p>
        </w:tc>
        <w:tc>
          <w:tcPr>
            <w:tcW w:w="1560" w:type="dxa"/>
            <w:tcBorders>
              <w:bottom w:val="dotted" w:sz="4" w:space="0" w:color="000000"/>
              <w:right w:val="single" w:sz="8"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933</w:t>
            </w:r>
          </w:p>
        </w:tc>
      </w:tr>
      <w:tr>
        <w:trPr>
          <w:trHeight w:val="315" w:hRule="atLeast"/>
        </w:trPr>
        <w:tc>
          <w:tcPr>
            <w:tcW w:w="1558" w:type="dxa"/>
            <w:tcBorders>
              <w:left w:val="single" w:sz="8" w:space="0" w:color="000000"/>
              <w:right w:val="single" w:sz="4" w:space="0" w:color="000000"/>
            </w:tcBorders>
            <w:shd w:color="auto" w:fill="F3E6B7"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 </w:t>
            </w:r>
          </w:p>
        </w:tc>
        <w:tc>
          <w:tcPr>
            <w:tcW w:w="2202" w:type="dxa"/>
            <w:tcBorders>
              <w:bottom w:val="dashed" w:sz="4" w:space="0" w:color="000000"/>
              <w:right w:val="single" w:sz="8" w:space="0" w:color="000000"/>
            </w:tcBorders>
            <w:shd w:color="auto" w:fill="F3E6B7"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15-64</w:t>
            </w:r>
          </w:p>
        </w:tc>
        <w:tc>
          <w:tcPr>
            <w:tcW w:w="1558"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2 783</w:t>
            </w:r>
          </w:p>
        </w:tc>
        <w:tc>
          <w:tcPr>
            <w:tcW w:w="1562"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2 675</w:t>
            </w:r>
          </w:p>
        </w:tc>
        <w:tc>
          <w:tcPr>
            <w:tcW w:w="1560" w:type="dxa"/>
            <w:tcBorders>
              <w:bottom w:val="dotted" w:sz="4" w:space="0" w:color="000000"/>
              <w:right w:val="single" w:sz="8"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2 562</w:t>
            </w:r>
          </w:p>
        </w:tc>
      </w:tr>
      <w:tr>
        <w:trPr>
          <w:trHeight w:val="315" w:hRule="atLeast"/>
        </w:trPr>
        <w:tc>
          <w:tcPr>
            <w:tcW w:w="1558" w:type="dxa"/>
            <w:tcBorders>
              <w:left w:val="single" w:sz="8" w:space="0" w:color="000000"/>
              <w:right w:val="single" w:sz="4" w:space="0" w:color="000000"/>
            </w:tcBorders>
            <w:shd w:color="auto" w:fill="F3E6B7"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 </w:t>
            </w:r>
          </w:p>
        </w:tc>
        <w:tc>
          <w:tcPr>
            <w:tcW w:w="2202" w:type="dxa"/>
            <w:tcBorders>
              <w:bottom w:val="dashed" w:sz="4" w:space="0" w:color="000000"/>
              <w:right w:val="single" w:sz="8" w:space="0" w:color="000000"/>
            </w:tcBorders>
            <w:shd w:color="auto" w:fill="F3E6B7"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65+</w:t>
            </w:r>
          </w:p>
        </w:tc>
        <w:tc>
          <w:tcPr>
            <w:tcW w:w="1558"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587</w:t>
            </w:r>
          </w:p>
        </w:tc>
        <w:tc>
          <w:tcPr>
            <w:tcW w:w="1562"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684</w:t>
            </w:r>
          </w:p>
        </w:tc>
        <w:tc>
          <w:tcPr>
            <w:tcW w:w="1560" w:type="dxa"/>
            <w:tcBorders>
              <w:bottom w:val="dotted" w:sz="4" w:space="0" w:color="000000"/>
              <w:right w:val="single" w:sz="8"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712</w:t>
            </w:r>
          </w:p>
        </w:tc>
      </w:tr>
      <w:tr>
        <w:trPr>
          <w:trHeight w:val="315" w:hRule="atLeast"/>
        </w:trPr>
        <w:tc>
          <w:tcPr>
            <w:tcW w:w="1558" w:type="dxa"/>
            <w:tcBorders>
              <w:left w:val="single" w:sz="8" w:space="0" w:color="000000"/>
              <w:right w:val="single" w:sz="4" w:space="0" w:color="000000"/>
            </w:tcBorders>
            <w:shd w:color="auto" w:fill="F3E6B7"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 </w:t>
            </w:r>
          </w:p>
        </w:tc>
        <w:tc>
          <w:tcPr>
            <w:tcW w:w="2202" w:type="dxa"/>
            <w:tcBorders>
              <w:bottom w:val="dashed" w:sz="4" w:space="0" w:color="000000"/>
              <w:right w:val="single" w:sz="8" w:space="0" w:color="000000"/>
            </w:tcBorders>
            <w:shd w:color="auto" w:fill="F3E6B7"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80+</w:t>
            </w:r>
          </w:p>
        </w:tc>
        <w:tc>
          <w:tcPr>
            <w:tcW w:w="1558"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99</w:t>
            </w:r>
          </w:p>
        </w:tc>
        <w:tc>
          <w:tcPr>
            <w:tcW w:w="1562"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92</w:t>
            </w:r>
          </w:p>
        </w:tc>
        <w:tc>
          <w:tcPr>
            <w:tcW w:w="1560" w:type="dxa"/>
            <w:tcBorders>
              <w:bottom w:val="dotted" w:sz="4" w:space="0" w:color="000000"/>
              <w:right w:val="single" w:sz="8"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119</w:t>
            </w:r>
          </w:p>
        </w:tc>
      </w:tr>
      <w:tr>
        <w:trPr>
          <w:trHeight w:val="315" w:hRule="atLeast"/>
        </w:trPr>
        <w:tc>
          <w:tcPr>
            <w:tcW w:w="1558" w:type="dxa"/>
            <w:tcBorders>
              <w:top w:val="single" w:sz="8" w:space="0" w:color="000000"/>
              <w:left w:val="single" w:sz="8" w:space="0" w:color="000000"/>
              <w:right w:val="single" w:sz="4" w:space="0" w:color="000000"/>
            </w:tcBorders>
            <w:shd w:color="auto" w:fill="DDEBF7" w:val="clear"/>
          </w:tcPr>
          <w:p>
            <w:pPr>
              <w:pStyle w:val="Standard"/>
              <w:widowControl w:val="false"/>
              <w:spacing w:lineRule="auto" w:line="360"/>
              <w:rPr>
                <w:rFonts w:ascii="Times New Roman" w:hAnsi="Times New Roman" w:cs="Times New Roman"/>
                <w:b/>
                <w:b/>
                <w:bCs/>
                <w:sz w:val="22"/>
                <w:szCs w:val="22"/>
              </w:rPr>
            </w:pPr>
            <w:r>
              <w:rPr>
                <w:rFonts w:cs="Times New Roman" w:ascii="Times New Roman" w:hAnsi="Times New Roman"/>
                <w:b/>
                <w:bCs/>
                <w:sz w:val="22"/>
                <w:szCs w:val="22"/>
              </w:rPr>
              <w:t>Kobiety</w:t>
            </w:r>
          </w:p>
        </w:tc>
        <w:tc>
          <w:tcPr>
            <w:tcW w:w="2202" w:type="dxa"/>
            <w:tcBorders>
              <w:top w:val="single" w:sz="8" w:space="0" w:color="000000"/>
              <w:bottom w:val="dashed" w:sz="4" w:space="0" w:color="000000"/>
              <w:right w:val="single" w:sz="8" w:space="0" w:color="000000"/>
            </w:tcBorders>
            <w:shd w:color="auto" w:fill="DDEBF7" w:val="clear"/>
          </w:tcPr>
          <w:p>
            <w:pPr>
              <w:pStyle w:val="Standard"/>
              <w:widowControl w:val="false"/>
              <w:spacing w:lineRule="auto" w:line="360"/>
              <w:rPr>
                <w:rFonts w:ascii="Times New Roman" w:hAnsi="Times New Roman" w:cs="Times New Roman"/>
                <w:b/>
                <w:b/>
                <w:bCs/>
                <w:sz w:val="22"/>
                <w:szCs w:val="22"/>
              </w:rPr>
            </w:pPr>
            <w:r>
              <w:rPr>
                <w:rFonts w:cs="Times New Roman" w:ascii="Times New Roman" w:hAnsi="Times New Roman"/>
                <w:b/>
                <w:bCs/>
                <w:sz w:val="22"/>
                <w:szCs w:val="22"/>
              </w:rPr>
              <w:t>Ogółem</w:t>
            </w:r>
          </w:p>
        </w:tc>
        <w:tc>
          <w:tcPr>
            <w:tcW w:w="1558" w:type="dxa"/>
            <w:tcBorders>
              <w:top w:val="single" w:sz="8" w:space="0" w:color="000000"/>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b/>
                <w:b/>
                <w:bCs/>
                <w:sz w:val="22"/>
                <w:szCs w:val="22"/>
              </w:rPr>
            </w:pPr>
            <w:r>
              <w:rPr>
                <w:rFonts w:cs="Times New Roman" w:ascii="Times New Roman" w:hAnsi="Times New Roman"/>
                <w:b/>
                <w:bCs/>
                <w:sz w:val="22"/>
                <w:szCs w:val="22"/>
              </w:rPr>
              <w:t>3 942</w:t>
            </w:r>
          </w:p>
        </w:tc>
        <w:tc>
          <w:tcPr>
            <w:tcW w:w="1562" w:type="dxa"/>
            <w:tcBorders>
              <w:top w:val="single" w:sz="8" w:space="0" w:color="000000"/>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b/>
                <w:b/>
                <w:bCs/>
                <w:sz w:val="22"/>
                <w:szCs w:val="22"/>
              </w:rPr>
            </w:pPr>
            <w:r>
              <w:rPr>
                <w:rFonts w:cs="Times New Roman" w:ascii="Times New Roman" w:hAnsi="Times New Roman"/>
                <w:b/>
                <w:bCs/>
                <w:sz w:val="22"/>
                <w:szCs w:val="22"/>
              </w:rPr>
              <w:t>3 870</w:t>
            </w:r>
          </w:p>
        </w:tc>
        <w:tc>
          <w:tcPr>
            <w:tcW w:w="1560" w:type="dxa"/>
            <w:tcBorders>
              <w:top w:val="single" w:sz="8" w:space="0" w:color="000000"/>
              <w:bottom w:val="dotted" w:sz="4" w:space="0" w:color="000000"/>
              <w:right w:val="single" w:sz="8" w:space="0" w:color="000000"/>
            </w:tcBorders>
            <w:shd w:color="auto" w:fill="auto" w:val="clear"/>
            <w:vAlign w:val="center"/>
          </w:tcPr>
          <w:p>
            <w:pPr>
              <w:pStyle w:val="Standard"/>
              <w:widowControl w:val="false"/>
              <w:spacing w:lineRule="auto" w:line="360"/>
              <w:jc w:val="right"/>
              <w:rPr>
                <w:rFonts w:ascii="Times New Roman" w:hAnsi="Times New Roman" w:cs="Times New Roman"/>
                <w:b/>
                <w:b/>
                <w:bCs/>
                <w:sz w:val="22"/>
                <w:szCs w:val="22"/>
              </w:rPr>
            </w:pPr>
            <w:r>
              <w:rPr>
                <w:rFonts w:cs="Times New Roman" w:ascii="Times New Roman" w:hAnsi="Times New Roman"/>
                <w:b/>
                <w:bCs/>
                <w:sz w:val="22"/>
                <w:szCs w:val="22"/>
              </w:rPr>
              <w:t>3 822</w:t>
            </w:r>
          </w:p>
        </w:tc>
      </w:tr>
      <w:tr>
        <w:trPr>
          <w:trHeight w:val="315" w:hRule="atLeast"/>
        </w:trPr>
        <w:tc>
          <w:tcPr>
            <w:tcW w:w="1558" w:type="dxa"/>
            <w:tcBorders>
              <w:left w:val="single" w:sz="8" w:space="0" w:color="000000"/>
              <w:right w:val="single" w:sz="4" w:space="0" w:color="000000"/>
            </w:tcBorders>
            <w:shd w:color="auto" w:fill="DDEBF7"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 </w:t>
            </w:r>
          </w:p>
        </w:tc>
        <w:tc>
          <w:tcPr>
            <w:tcW w:w="2202" w:type="dxa"/>
            <w:tcBorders>
              <w:bottom w:val="dashed" w:sz="4" w:space="0" w:color="000000"/>
              <w:right w:val="single" w:sz="8" w:space="0" w:color="000000"/>
            </w:tcBorders>
            <w:shd w:color="auto" w:fill="DDEBF7"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przedprodukcyjny 0-17</w:t>
            </w:r>
          </w:p>
        </w:tc>
        <w:tc>
          <w:tcPr>
            <w:tcW w:w="1558"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652</w:t>
            </w:r>
          </w:p>
        </w:tc>
        <w:tc>
          <w:tcPr>
            <w:tcW w:w="1562"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630</w:t>
            </w:r>
          </w:p>
        </w:tc>
        <w:tc>
          <w:tcPr>
            <w:tcW w:w="1560" w:type="dxa"/>
            <w:tcBorders>
              <w:bottom w:val="dotted" w:sz="4" w:space="0" w:color="000000"/>
              <w:right w:val="single" w:sz="8"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570</w:t>
            </w:r>
          </w:p>
        </w:tc>
      </w:tr>
      <w:tr>
        <w:trPr>
          <w:trHeight w:val="315" w:hRule="atLeast"/>
        </w:trPr>
        <w:tc>
          <w:tcPr>
            <w:tcW w:w="1558" w:type="dxa"/>
            <w:tcBorders>
              <w:left w:val="single" w:sz="8" w:space="0" w:color="000000"/>
              <w:right w:val="single" w:sz="4" w:space="0" w:color="000000"/>
            </w:tcBorders>
            <w:shd w:color="auto" w:fill="DDEBF7"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 </w:t>
            </w:r>
          </w:p>
        </w:tc>
        <w:tc>
          <w:tcPr>
            <w:tcW w:w="2202" w:type="dxa"/>
            <w:tcBorders>
              <w:bottom w:val="dashed" w:sz="4" w:space="0" w:color="000000"/>
              <w:right w:val="single" w:sz="8" w:space="0" w:color="000000"/>
            </w:tcBorders>
            <w:shd w:color="auto" w:fill="DDEBF7"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produkcyjny 18-59</w:t>
            </w:r>
          </w:p>
        </w:tc>
        <w:tc>
          <w:tcPr>
            <w:tcW w:w="1558"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2 223</w:t>
            </w:r>
          </w:p>
        </w:tc>
        <w:tc>
          <w:tcPr>
            <w:tcW w:w="1562"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2 129</w:t>
            </w:r>
          </w:p>
        </w:tc>
        <w:tc>
          <w:tcPr>
            <w:tcW w:w="1560" w:type="dxa"/>
            <w:tcBorders>
              <w:bottom w:val="dotted" w:sz="4" w:space="0" w:color="000000"/>
              <w:right w:val="single" w:sz="8"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2 092</w:t>
            </w:r>
          </w:p>
        </w:tc>
      </w:tr>
      <w:tr>
        <w:trPr>
          <w:trHeight w:val="315" w:hRule="atLeast"/>
        </w:trPr>
        <w:tc>
          <w:tcPr>
            <w:tcW w:w="1558" w:type="dxa"/>
            <w:tcBorders>
              <w:left w:val="single" w:sz="8" w:space="0" w:color="000000"/>
              <w:right w:val="single" w:sz="4" w:space="0" w:color="000000"/>
            </w:tcBorders>
            <w:shd w:color="auto" w:fill="DDEBF7"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 </w:t>
            </w:r>
          </w:p>
        </w:tc>
        <w:tc>
          <w:tcPr>
            <w:tcW w:w="2202" w:type="dxa"/>
            <w:tcBorders>
              <w:bottom w:val="dashed" w:sz="4" w:space="0" w:color="000000"/>
              <w:right w:val="single" w:sz="8" w:space="0" w:color="000000"/>
            </w:tcBorders>
            <w:shd w:color="auto" w:fill="DDEBF7"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mobilny 18-44</w:t>
            </w:r>
          </w:p>
        </w:tc>
        <w:tc>
          <w:tcPr>
            <w:tcW w:w="1558"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1 433</w:t>
            </w:r>
          </w:p>
        </w:tc>
        <w:tc>
          <w:tcPr>
            <w:tcW w:w="1562"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1 290</w:t>
            </w:r>
          </w:p>
        </w:tc>
        <w:tc>
          <w:tcPr>
            <w:tcW w:w="1560" w:type="dxa"/>
            <w:tcBorders>
              <w:bottom w:val="dotted" w:sz="4" w:space="0" w:color="000000"/>
              <w:right w:val="single" w:sz="8"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1 167</w:t>
            </w:r>
          </w:p>
        </w:tc>
      </w:tr>
      <w:tr>
        <w:trPr>
          <w:trHeight w:val="315" w:hRule="atLeast"/>
        </w:trPr>
        <w:tc>
          <w:tcPr>
            <w:tcW w:w="1558" w:type="dxa"/>
            <w:tcBorders>
              <w:left w:val="single" w:sz="8" w:space="0" w:color="000000"/>
              <w:right w:val="single" w:sz="4" w:space="0" w:color="000000"/>
            </w:tcBorders>
            <w:shd w:color="auto" w:fill="DDEBF7"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 </w:t>
            </w:r>
          </w:p>
        </w:tc>
        <w:tc>
          <w:tcPr>
            <w:tcW w:w="2202" w:type="dxa"/>
            <w:tcBorders>
              <w:bottom w:val="dashed" w:sz="4" w:space="0" w:color="000000"/>
              <w:right w:val="single" w:sz="8" w:space="0" w:color="000000"/>
            </w:tcBorders>
            <w:shd w:color="auto" w:fill="DDEBF7"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niemobilny - 44-59</w:t>
            </w:r>
          </w:p>
        </w:tc>
        <w:tc>
          <w:tcPr>
            <w:tcW w:w="1558"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790</w:t>
            </w:r>
          </w:p>
        </w:tc>
        <w:tc>
          <w:tcPr>
            <w:tcW w:w="1562"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839</w:t>
            </w:r>
          </w:p>
        </w:tc>
        <w:tc>
          <w:tcPr>
            <w:tcW w:w="1560" w:type="dxa"/>
            <w:tcBorders>
              <w:bottom w:val="dotted" w:sz="4" w:space="0" w:color="000000"/>
              <w:right w:val="single" w:sz="8"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925</w:t>
            </w:r>
          </w:p>
        </w:tc>
      </w:tr>
      <w:tr>
        <w:trPr>
          <w:trHeight w:val="315" w:hRule="atLeast"/>
        </w:trPr>
        <w:tc>
          <w:tcPr>
            <w:tcW w:w="1558" w:type="dxa"/>
            <w:tcBorders>
              <w:left w:val="single" w:sz="8" w:space="0" w:color="000000"/>
              <w:right w:val="single" w:sz="4" w:space="0" w:color="000000"/>
            </w:tcBorders>
            <w:shd w:color="auto" w:fill="DDEBF7"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 </w:t>
            </w:r>
          </w:p>
        </w:tc>
        <w:tc>
          <w:tcPr>
            <w:tcW w:w="2202" w:type="dxa"/>
            <w:tcBorders>
              <w:bottom w:val="dashed" w:sz="4" w:space="0" w:color="000000"/>
              <w:right w:val="single" w:sz="8" w:space="0" w:color="000000"/>
            </w:tcBorders>
            <w:shd w:color="auto" w:fill="DDEBF7"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poprodukcyjny 60+</w:t>
            </w:r>
          </w:p>
        </w:tc>
        <w:tc>
          <w:tcPr>
            <w:tcW w:w="1558"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1 067</w:t>
            </w:r>
          </w:p>
        </w:tc>
        <w:tc>
          <w:tcPr>
            <w:tcW w:w="1562"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1 111</w:t>
            </w:r>
          </w:p>
        </w:tc>
        <w:tc>
          <w:tcPr>
            <w:tcW w:w="1560" w:type="dxa"/>
            <w:tcBorders>
              <w:bottom w:val="dotted" w:sz="4" w:space="0" w:color="000000"/>
              <w:right w:val="single" w:sz="8"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1 160</w:t>
            </w:r>
          </w:p>
        </w:tc>
      </w:tr>
      <w:tr>
        <w:trPr>
          <w:trHeight w:val="315" w:hRule="atLeast"/>
        </w:trPr>
        <w:tc>
          <w:tcPr>
            <w:tcW w:w="1558" w:type="dxa"/>
            <w:tcBorders>
              <w:left w:val="single" w:sz="8" w:space="0" w:color="000000"/>
              <w:right w:val="single" w:sz="4" w:space="0" w:color="000000"/>
            </w:tcBorders>
            <w:shd w:color="auto" w:fill="DDEBF7"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 </w:t>
            </w:r>
          </w:p>
        </w:tc>
        <w:tc>
          <w:tcPr>
            <w:tcW w:w="2202" w:type="dxa"/>
            <w:tcBorders>
              <w:bottom w:val="dashed" w:sz="4" w:space="0" w:color="000000"/>
              <w:right w:val="single" w:sz="8" w:space="0" w:color="000000"/>
            </w:tcBorders>
            <w:shd w:color="auto" w:fill="DDEBF7"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0-14</w:t>
            </w:r>
          </w:p>
        </w:tc>
        <w:tc>
          <w:tcPr>
            <w:tcW w:w="1558"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543</w:t>
            </w:r>
          </w:p>
        </w:tc>
        <w:tc>
          <w:tcPr>
            <w:tcW w:w="1562"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498</w:t>
            </w:r>
          </w:p>
        </w:tc>
        <w:tc>
          <w:tcPr>
            <w:tcW w:w="1560" w:type="dxa"/>
            <w:tcBorders>
              <w:bottom w:val="dotted" w:sz="4" w:space="0" w:color="000000"/>
              <w:right w:val="single" w:sz="8"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487</w:t>
            </w:r>
          </w:p>
        </w:tc>
      </w:tr>
      <w:tr>
        <w:trPr>
          <w:trHeight w:val="315" w:hRule="atLeast"/>
        </w:trPr>
        <w:tc>
          <w:tcPr>
            <w:tcW w:w="1558" w:type="dxa"/>
            <w:tcBorders>
              <w:left w:val="single" w:sz="8" w:space="0" w:color="000000"/>
              <w:right w:val="single" w:sz="4" w:space="0" w:color="000000"/>
            </w:tcBorders>
            <w:shd w:color="auto" w:fill="DDEBF7"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 </w:t>
            </w:r>
          </w:p>
        </w:tc>
        <w:tc>
          <w:tcPr>
            <w:tcW w:w="2202" w:type="dxa"/>
            <w:tcBorders>
              <w:bottom w:val="dashed" w:sz="4" w:space="0" w:color="000000"/>
              <w:right w:val="single" w:sz="8" w:space="0" w:color="000000"/>
            </w:tcBorders>
            <w:shd w:color="auto" w:fill="DDEBF7"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15-59</w:t>
            </w:r>
          </w:p>
        </w:tc>
        <w:tc>
          <w:tcPr>
            <w:tcW w:w="1558"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2 332</w:t>
            </w:r>
          </w:p>
        </w:tc>
        <w:tc>
          <w:tcPr>
            <w:tcW w:w="1562"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2 261</w:t>
            </w:r>
          </w:p>
        </w:tc>
        <w:tc>
          <w:tcPr>
            <w:tcW w:w="1560" w:type="dxa"/>
            <w:tcBorders>
              <w:bottom w:val="dotted" w:sz="4" w:space="0" w:color="000000"/>
              <w:right w:val="single" w:sz="8"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2 175</w:t>
            </w:r>
          </w:p>
        </w:tc>
      </w:tr>
      <w:tr>
        <w:trPr>
          <w:trHeight w:val="315" w:hRule="atLeast"/>
        </w:trPr>
        <w:tc>
          <w:tcPr>
            <w:tcW w:w="1558" w:type="dxa"/>
            <w:tcBorders>
              <w:left w:val="single" w:sz="8" w:space="0" w:color="000000"/>
              <w:right w:val="single" w:sz="4" w:space="0" w:color="000000"/>
            </w:tcBorders>
            <w:shd w:color="auto" w:fill="DDEBF7"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 </w:t>
            </w:r>
          </w:p>
        </w:tc>
        <w:tc>
          <w:tcPr>
            <w:tcW w:w="2202" w:type="dxa"/>
            <w:tcBorders>
              <w:bottom w:val="dashed" w:sz="4" w:space="0" w:color="000000"/>
              <w:right w:val="single" w:sz="8" w:space="0" w:color="000000"/>
            </w:tcBorders>
            <w:shd w:color="auto" w:fill="DDEBF7"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60+</w:t>
            </w:r>
          </w:p>
        </w:tc>
        <w:tc>
          <w:tcPr>
            <w:tcW w:w="1558"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1 067</w:t>
            </w:r>
          </w:p>
        </w:tc>
        <w:tc>
          <w:tcPr>
            <w:tcW w:w="1562"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1 111</w:t>
            </w:r>
          </w:p>
        </w:tc>
        <w:tc>
          <w:tcPr>
            <w:tcW w:w="1560" w:type="dxa"/>
            <w:tcBorders>
              <w:bottom w:val="dotted" w:sz="4" w:space="0" w:color="000000"/>
              <w:right w:val="single" w:sz="8"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1 160</w:t>
            </w:r>
          </w:p>
        </w:tc>
      </w:tr>
      <w:tr>
        <w:trPr>
          <w:trHeight w:val="315" w:hRule="atLeast"/>
        </w:trPr>
        <w:tc>
          <w:tcPr>
            <w:tcW w:w="1558" w:type="dxa"/>
            <w:tcBorders>
              <w:left w:val="single" w:sz="8" w:space="0" w:color="000000"/>
              <w:right w:val="single" w:sz="4" w:space="0" w:color="000000"/>
            </w:tcBorders>
            <w:shd w:color="auto" w:fill="DDEBF7"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 </w:t>
            </w:r>
          </w:p>
        </w:tc>
        <w:tc>
          <w:tcPr>
            <w:tcW w:w="2202" w:type="dxa"/>
            <w:tcBorders>
              <w:bottom w:val="dashed" w:sz="4" w:space="0" w:color="000000"/>
              <w:right w:val="single" w:sz="8" w:space="0" w:color="000000"/>
            </w:tcBorders>
            <w:shd w:color="auto" w:fill="DDEBF7"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15-64</w:t>
            </w:r>
          </w:p>
        </w:tc>
        <w:tc>
          <w:tcPr>
            <w:tcW w:w="1558"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2 633</w:t>
            </w:r>
          </w:p>
        </w:tc>
        <w:tc>
          <w:tcPr>
            <w:tcW w:w="1562"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2 518</w:t>
            </w:r>
          </w:p>
        </w:tc>
        <w:tc>
          <w:tcPr>
            <w:tcW w:w="1560" w:type="dxa"/>
            <w:tcBorders>
              <w:bottom w:val="dotted" w:sz="4" w:space="0" w:color="000000"/>
              <w:right w:val="single" w:sz="8"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2 419</w:t>
            </w:r>
          </w:p>
        </w:tc>
      </w:tr>
      <w:tr>
        <w:trPr>
          <w:trHeight w:val="315" w:hRule="atLeast"/>
        </w:trPr>
        <w:tc>
          <w:tcPr>
            <w:tcW w:w="1558" w:type="dxa"/>
            <w:tcBorders>
              <w:left w:val="single" w:sz="8" w:space="0" w:color="000000"/>
              <w:right w:val="single" w:sz="4" w:space="0" w:color="000000"/>
            </w:tcBorders>
            <w:shd w:color="auto" w:fill="DDEBF7"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 </w:t>
            </w:r>
          </w:p>
        </w:tc>
        <w:tc>
          <w:tcPr>
            <w:tcW w:w="2202" w:type="dxa"/>
            <w:tcBorders>
              <w:bottom w:val="dashed" w:sz="4" w:space="0" w:color="000000"/>
              <w:right w:val="single" w:sz="8" w:space="0" w:color="000000"/>
            </w:tcBorders>
            <w:shd w:color="auto" w:fill="DDEBF7"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65+</w:t>
            </w:r>
          </w:p>
        </w:tc>
        <w:tc>
          <w:tcPr>
            <w:tcW w:w="1558"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766</w:t>
            </w:r>
          </w:p>
        </w:tc>
        <w:tc>
          <w:tcPr>
            <w:tcW w:w="1562"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854</w:t>
            </w:r>
          </w:p>
        </w:tc>
        <w:tc>
          <w:tcPr>
            <w:tcW w:w="1560" w:type="dxa"/>
            <w:tcBorders>
              <w:bottom w:val="dotted" w:sz="4" w:space="0" w:color="000000"/>
              <w:right w:val="single" w:sz="8"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916</w:t>
            </w:r>
          </w:p>
        </w:tc>
      </w:tr>
      <w:tr>
        <w:trPr>
          <w:trHeight w:val="315" w:hRule="atLeast"/>
        </w:trPr>
        <w:tc>
          <w:tcPr>
            <w:tcW w:w="1558" w:type="dxa"/>
            <w:tcBorders>
              <w:left w:val="single" w:sz="8" w:space="0" w:color="000000"/>
              <w:right w:val="single" w:sz="4" w:space="0" w:color="000000"/>
            </w:tcBorders>
            <w:shd w:color="auto" w:fill="DDEBF7"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 </w:t>
            </w:r>
          </w:p>
        </w:tc>
        <w:tc>
          <w:tcPr>
            <w:tcW w:w="2202" w:type="dxa"/>
            <w:tcBorders>
              <w:bottom w:val="dashed" w:sz="4" w:space="0" w:color="000000"/>
              <w:right w:val="single" w:sz="8" w:space="0" w:color="000000"/>
            </w:tcBorders>
            <w:shd w:color="auto" w:fill="DDEBF7"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80+</w:t>
            </w:r>
          </w:p>
        </w:tc>
        <w:tc>
          <w:tcPr>
            <w:tcW w:w="1558"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242</w:t>
            </w:r>
          </w:p>
        </w:tc>
        <w:tc>
          <w:tcPr>
            <w:tcW w:w="1562" w:type="dxa"/>
            <w:tcBorders>
              <w:bottom w:val="dotted" w:sz="4"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200</w:t>
            </w:r>
          </w:p>
        </w:tc>
        <w:tc>
          <w:tcPr>
            <w:tcW w:w="1560" w:type="dxa"/>
            <w:tcBorders>
              <w:bottom w:val="dotted" w:sz="4" w:space="0" w:color="000000"/>
              <w:right w:val="single" w:sz="8"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247</w:t>
            </w:r>
          </w:p>
        </w:tc>
      </w:tr>
      <w:tr>
        <w:trPr>
          <w:trHeight w:val="315" w:hRule="atLeast"/>
        </w:trPr>
        <w:tc>
          <w:tcPr>
            <w:tcW w:w="1558" w:type="dxa"/>
            <w:tcBorders>
              <w:left w:val="single" w:sz="8" w:space="0" w:color="000000"/>
              <w:bottom w:val="single" w:sz="8" w:space="0" w:color="000000"/>
              <w:right w:val="single" w:sz="4" w:space="0" w:color="000000"/>
            </w:tcBorders>
            <w:shd w:color="auto" w:fill="DDEBF7"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 </w:t>
            </w:r>
          </w:p>
        </w:tc>
        <w:tc>
          <w:tcPr>
            <w:tcW w:w="2202" w:type="dxa"/>
            <w:tcBorders>
              <w:bottom w:val="single" w:sz="8" w:space="0" w:color="000000"/>
              <w:right w:val="single" w:sz="8" w:space="0" w:color="000000"/>
            </w:tcBorders>
            <w:shd w:color="auto" w:fill="DDEBF7" w:val="clear"/>
          </w:tcPr>
          <w:p>
            <w:pPr>
              <w:pStyle w:val="Standard"/>
              <w:widowControl w:val="false"/>
              <w:spacing w:lineRule="auto" w:line="360"/>
              <w:rPr>
                <w:rFonts w:ascii="Times New Roman" w:hAnsi="Times New Roman" w:cs="Times New Roman"/>
                <w:sz w:val="22"/>
                <w:szCs w:val="22"/>
              </w:rPr>
            </w:pPr>
            <w:r>
              <w:rPr>
                <w:rFonts w:cs="Times New Roman" w:ascii="Times New Roman" w:hAnsi="Times New Roman"/>
                <w:sz w:val="22"/>
                <w:szCs w:val="22"/>
              </w:rPr>
              <w:t>15-49</w:t>
            </w:r>
          </w:p>
        </w:tc>
        <w:tc>
          <w:tcPr>
            <w:tcW w:w="1558" w:type="dxa"/>
            <w:tcBorders>
              <w:bottom w:val="single" w:sz="8"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1 827</w:t>
            </w:r>
          </w:p>
        </w:tc>
        <w:tc>
          <w:tcPr>
            <w:tcW w:w="1562" w:type="dxa"/>
            <w:tcBorders>
              <w:bottom w:val="single" w:sz="8" w:space="0" w:color="000000"/>
              <w:right w:val="single" w:sz="4"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1 728</w:t>
            </w:r>
          </w:p>
        </w:tc>
        <w:tc>
          <w:tcPr>
            <w:tcW w:w="1560" w:type="dxa"/>
            <w:tcBorders>
              <w:bottom w:val="single" w:sz="8" w:space="0" w:color="000000"/>
              <w:right w:val="single" w:sz="8" w:space="0" w:color="000000"/>
            </w:tcBorders>
            <w:shd w:color="auto" w:fill="auto" w:val="clear"/>
            <w:vAlign w:val="center"/>
          </w:tcPr>
          <w:p>
            <w:pPr>
              <w:pStyle w:val="Standard"/>
              <w:widowControl w:val="false"/>
              <w:spacing w:lineRule="auto" w:line="360"/>
              <w:jc w:val="right"/>
              <w:rPr>
                <w:rFonts w:ascii="Times New Roman" w:hAnsi="Times New Roman" w:cs="Times New Roman"/>
                <w:sz w:val="22"/>
                <w:szCs w:val="22"/>
              </w:rPr>
            </w:pPr>
            <w:r>
              <w:rPr>
                <w:rFonts w:cs="Times New Roman" w:ascii="Times New Roman" w:hAnsi="Times New Roman"/>
                <w:sz w:val="22"/>
                <w:szCs w:val="22"/>
              </w:rPr>
              <w:t>1 573</w:t>
            </w:r>
          </w:p>
        </w:tc>
      </w:tr>
    </w:tbl>
    <w:p>
      <w:pPr>
        <w:pStyle w:val="Standard"/>
        <w:spacing w:lineRule="auto" w:line="360"/>
        <w:jc w:val="both"/>
        <w:rPr>
          <w:rFonts w:ascii="Times New Roman" w:hAnsi="Times New Roman" w:eastAsia="Calibri" w:cs="Times New Roman"/>
          <w:sz w:val="22"/>
          <w:szCs w:val="22"/>
        </w:rPr>
      </w:pPr>
      <w:r>
        <w:rPr>
          <w:rFonts w:eastAsia="Calibri" w:cs="Times New Roman" w:ascii="Times New Roman" w:hAnsi="Times New Roman"/>
          <w:sz w:val="22"/>
          <w:szCs w:val="22"/>
        </w:rPr>
        <w:t>Źródło: GUS.</w:t>
      </w:r>
    </w:p>
    <w:p>
      <w:pPr>
        <w:pStyle w:val="Nagwek2"/>
        <w:rPr>
          <w:rFonts w:ascii="Times New Roman" w:hAnsi="Times New Roman" w:cs="Times New Roman"/>
        </w:rPr>
      </w:pPr>
      <w:bookmarkStart w:id="6" w:name="_Toc85228958"/>
      <w:bookmarkStart w:id="7" w:name="_Toc70257473"/>
      <w:r>
        <w:rPr>
          <w:rFonts w:cs="Times New Roman" w:ascii="Times New Roman" w:hAnsi="Times New Roman"/>
        </w:rPr>
        <w:t>Infrastruktura komunikacyjna</w:t>
      </w:r>
      <w:bookmarkEnd w:id="6"/>
      <w:bookmarkEnd w:id="7"/>
    </w:p>
    <w:p>
      <w:pPr>
        <w:pStyle w:val="Caption"/>
        <w:spacing w:lineRule="auto" w:line="360" w:before="0" w:after="0"/>
        <w:rPr>
          <w:rFonts w:ascii="Times New Roman" w:hAnsi="Times New Roman" w:cs="Times New Roman"/>
          <w:color w:val="auto"/>
        </w:rPr>
      </w:pPr>
      <w:r>
        <w:rPr>
          <w:rFonts w:cs="Times New Roman" w:ascii="Times New Roman" w:hAnsi="Times New Roman"/>
          <w:color w:val="auto"/>
        </w:rPr>
        <w:t>Rysunek 4. Powierzchnia infrastruktury komunikacyjnej i kluczowe odległości od punktów komunikacyjnych</w:t>
      </w:r>
    </w:p>
    <w:p>
      <w:pPr>
        <w:pStyle w:val="Standard"/>
        <w:spacing w:lineRule="auto" w:line="360"/>
        <w:jc w:val="center"/>
        <w:rPr>
          <w:rFonts w:ascii="Times New Roman" w:hAnsi="Times New Roman" w:cs="Times New Roman"/>
          <w:sz w:val="22"/>
          <w:szCs w:val="22"/>
        </w:rPr>
      </w:pPr>
      <w:r>
        <w:rPr/>
        <w:drawing>
          <wp:inline distT="0" distB="0" distL="0" distR="0">
            <wp:extent cx="5495925" cy="3498215"/>
            <wp:effectExtent l="0" t="0" r="0" b="0"/>
            <wp:docPr id="7" name="Obraz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
                    <pic:cNvPicPr>
                      <a:picLocks noChangeAspect="1" noChangeArrowheads="1"/>
                    </pic:cNvPicPr>
                  </pic:nvPicPr>
                  <pic:blipFill>
                    <a:blip r:embed="rId8"/>
                    <a:stretch>
                      <a:fillRect/>
                    </a:stretch>
                  </pic:blipFill>
                  <pic:spPr bwMode="auto">
                    <a:xfrm>
                      <a:off x="0" y="0"/>
                      <a:ext cx="5495925" cy="3498215"/>
                    </a:xfrm>
                    <a:prstGeom prst="rect">
                      <a:avLst/>
                    </a:prstGeom>
                  </pic:spPr>
                </pic:pic>
              </a:graphicData>
            </a:graphic>
          </wp:inline>
        </w:drawing>
      </w:r>
    </w:p>
    <w:p>
      <w:pPr>
        <w:pStyle w:val="Standard"/>
        <w:spacing w:lineRule="auto" w:line="360"/>
        <w:jc w:val="both"/>
        <w:rPr>
          <w:rFonts w:ascii="Times New Roman" w:hAnsi="Times New Roman" w:eastAsia="Calibri" w:cs="Times New Roman"/>
          <w:sz w:val="22"/>
          <w:szCs w:val="22"/>
        </w:rPr>
      </w:pPr>
      <w:r>
        <w:rPr>
          <w:rFonts w:eastAsia="Calibri" w:cs="Times New Roman" w:ascii="Times New Roman" w:hAnsi="Times New Roman"/>
          <w:sz w:val="22"/>
          <w:szCs w:val="22"/>
        </w:rPr>
        <w:t>Źródło: Bank Danych Lokalnych GUS.</w:t>
      </w:r>
    </w:p>
    <w:p>
      <w:pPr>
        <w:pStyle w:val="Nagwek2"/>
        <w:rPr>
          <w:rFonts w:ascii="Times New Roman" w:hAnsi="Times New Roman" w:cs="Times New Roman"/>
        </w:rPr>
      </w:pPr>
      <w:bookmarkStart w:id="8" w:name="_Toc85228959"/>
      <w:bookmarkStart w:id="9" w:name="_Toc70257474"/>
      <w:r>
        <w:rPr>
          <w:rFonts w:cs="Times New Roman" w:ascii="Times New Roman" w:hAnsi="Times New Roman"/>
          <w:shd w:fill="FFFFFF" w:val="clear"/>
        </w:rPr>
        <w:t>Komunikacja publiczna</w:t>
      </w:r>
      <w:bookmarkEnd w:id="8"/>
      <w:bookmarkEnd w:id="9"/>
    </w:p>
    <w:p>
      <w:pPr>
        <w:pStyle w:val="Caption"/>
        <w:spacing w:lineRule="auto" w:line="360" w:before="0" w:after="0"/>
        <w:rPr>
          <w:rFonts w:ascii="Times New Roman" w:hAnsi="Times New Roman" w:cs="Times New Roman"/>
          <w:color w:val="auto"/>
        </w:rPr>
      </w:pPr>
      <w:r>
        <w:rPr>
          <w:rFonts w:cs="Times New Roman" w:ascii="Times New Roman" w:hAnsi="Times New Roman"/>
          <w:color w:val="auto"/>
        </w:rPr>
      </w:r>
    </w:p>
    <w:p>
      <w:pPr>
        <w:pStyle w:val="Caption"/>
        <w:spacing w:lineRule="auto" w:line="360" w:before="0" w:after="0"/>
        <w:rPr>
          <w:rFonts w:ascii="Times New Roman" w:hAnsi="Times New Roman" w:cs="Times New Roman"/>
          <w:color w:val="auto"/>
        </w:rPr>
      </w:pPr>
      <w:r>
        <w:rPr>
          <w:rFonts w:cs="Times New Roman" w:ascii="Times New Roman" w:hAnsi="Times New Roman"/>
          <w:color w:val="auto"/>
        </w:rPr>
        <w:t>Rysunek 5. Kluczowe kierunki komunikacji publicznej na terenie gminy</w:t>
      </w:r>
    </w:p>
    <w:p>
      <w:pPr>
        <w:pStyle w:val="Standard"/>
        <w:spacing w:lineRule="auto" w:line="360"/>
        <w:jc w:val="center"/>
        <w:rPr>
          <w:rFonts w:ascii="Times New Roman" w:hAnsi="Times New Roman" w:cs="Times New Roman"/>
          <w:sz w:val="22"/>
          <w:szCs w:val="22"/>
        </w:rPr>
      </w:pPr>
      <w:r>
        <w:rPr/>
        <w:drawing>
          <wp:inline distT="0" distB="0" distL="0" distR="0">
            <wp:extent cx="4581525" cy="3629025"/>
            <wp:effectExtent l="0" t="0" r="0" b="0"/>
            <wp:docPr id="8" name="Obraz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11" descr=""/>
                    <pic:cNvPicPr>
                      <a:picLocks noChangeAspect="1" noChangeArrowheads="1"/>
                    </pic:cNvPicPr>
                  </pic:nvPicPr>
                  <pic:blipFill>
                    <a:blip r:embed="rId9"/>
                    <a:stretch>
                      <a:fillRect/>
                    </a:stretch>
                  </pic:blipFill>
                  <pic:spPr bwMode="auto">
                    <a:xfrm>
                      <a:off x="0" y="0"/>
                      <a:ext cx="4581525" cy="3629025"/>
                    </a:xfrm>
                    <a:prstGeom prst="rect">
                      <a:avLst/>
                    </a:prstGeom>
                  </pic:spPr>
                </pic:pic>
              </a:graphicData>
            </a:graphic>
          </wp:inline>
        </w:drawing>
      </w:r>
    </w:p>
    <w:p>
      <w:pPr>
        <w:pStyle w:val="Standard"/>
        <w:spacing w:lineRule="auto" w:line="360"/>
        <w:ind w:firstLine="720"/>
        <w:jc w:val="both"/>
        <w:rPr>
          <w:rFonts w:ascii="Times New Roman" w:hAnsi="Times New Roman" w:cs="Times New Roman"/>
          <w:sz w:val="22"/>
          <w:szCs w:val="22"/>
        </w:rPr>
      </w:pPr>
      <w:r>
        <w:rPr>
          <w:rFonts w:cs="Times New Roman" w:ascii="Times New Roman" w:hAnsi="Times New Roman"/>
          <w:sz w:val="22"/>
          <w:szCs w:val="22"/>
        </w:rPr>
      </w:r>
    </w:p>
    <w:p>
      <w:pPr>
        <w:pStyle w:val="Standard"/>
        <w:spacing w:lineRule="auto" w:line="360"/>
        <w:ind w:firstLine="720"/>
        <w:jc w:val="both"/>
        <w:rPr>
          <w:rFonts w:ascii="Times New Roman" w:hAnsi="Times New Roman" w:cs="Times New Roman"/>
          <w:sz w:val="22"/>
          <w:szCs w:val="22"/>
        </w:rPr>
      </w:pPr>
      <w:r>
        <w:rPr>
          <w:rFonts w:cs="Times New Roman" w:ascii="Times New Roman" w:hAnsi="Times New Roman"/>
          <w:sz w:val="22"/>
          <w:szCs w:val="22"/>
        </w:rPr>
        <w:t>Środkami komunikacji zbiorowej na terenie gminy Choceń jest kolej oraz komunikacja autobusowa. Na linii kolejowej w Czerniewicach zlokalizowany jest przystanek z dworcem kolejowym będący własnością Gminy Choceń na podstawie prawa użytkowania wieczystego. Na dworcu tym zatrzymują się pociągi regionalne.</w:t>
      </w:r>
    </w:p>
    <w:p>
      <w:pPr>
        <w:pStyle w:val="Standard"/>
        <w:spacing w:lineRule="auto" w:line="360"/>
        <w:ind w:firstLine="720"/>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Komunikacja autobusowa zorganizowana jest przez Kujawsko-Pomorski Transport Samochodowy oraz transport prywatny. Linie autobusowe obsługujące teren gminy zbiegają się w Choceniu, gdzie zlokalizowane są dwa przystanki wyposażone w wiaty.</w:t>
      </w:r>
    </w:p>
    <w:p>
      <w:pPr>
        <w:pStyle w:val="Standard"/>
        <w:spacing w:lineRule="auto" w:line="360"/>
        <w:jc w:val="both"/>
        <w:rPr>
          <w:rFonts w:ascii="Times New Roman" w:hAnsi="Times New Roman" w:cs="Times New Roman"/>
          <w:sz w:val="22"/>
          <w:szCs w:val="22"/>
        </w:rPr>
      </w:pPr>
      <w:r>
        <w:rPr>
          <w:rFonts w:cs="Times New Roman" w:ascii="Times New Roman" w:hAnsi="Times New Roman"/>
          <w:sz w:val="22"/>
          <w:szCs w:val="22"/>
        </w:rPr>
      </w:r>
    </w:p>
    <w:p>
      <w:pPr>
        <w:pStyle w:val="Nagwek2"/>
        <w:spacing w:lineRule="auto" w:line="360" w:before="0" w:after="0"/>
        <w:rPr>
          <w:rFonts w:ascii="Times New Roman" w:hAnsi="Times New Roman" w:cs="Times New Roman"/>
          <w:shd w:fill="FFFFFF" w:val="clear"/>
        </w:rPr>
      </w:pPr>
      <w:bookmarkStart w:id="10" w:name="_Toc85228960"/>
      <w:bookmarkStart w:id="11" w:name="_Toc70257475"/>
      <w:r>
        <w:rPr>
          <w:rFonts w:cs="Times New Roman" w:ascii="Times New Roman" w:hAnsi="Times New Roman"/>
          <w:shd w:fill="FFFFFF" w:val="clear"/>
        </w:rPr>
        <w:t>Infrastruktura energetyczna</w:t>
      </w:r>
      <w:bookmarkEnd w:id="10"/>
      <w:bookmarkEnd w:id="11"/>
    </w:p>
    <w:p>
      <w:pPr>
        <w:pStyle w:val="Standard"/>
        <w:spacing w:lineRule="auto" w:line="360"/>
        <w:jc w:val="both"/>
        <w:rPr>
          <w:rFonts w:ascii="Times New Roman" w:hAnsi="Times New Roman" w:cs="Times New Roman"/>
          <w:sz w:val="22"/>
          <w:szCs w:val="22"/>
          <w:shd w:fill="FFFFFF" w:val="clear"/>
        </w:rPr>
      </w:pPr>
      <w:r>
        <w:rPr>
          <w:rFonts w:cs="Times New Roman" w:ascii="Times New Roman" w:hAnsi="Times New Roman"/>
          <w:sz w:val="22"/>
          <w:szCs w:val="22"/>
          <w:shd w:fill="FFFFFF" w:val="clear"/>
        </w:rPr>
      </w:r>
    </w:p>
    <w:p>
      <w:pPr>
        <w:pStyle w:val="Standard"/>
        <w:spacing w:lineRule="auto" w:line="360"/>
        <w:ind w:firstLine="720"/>
        <w:jc w:val="both"/>
        <w:rPr>
          <w:rFonts w:ascii="Times New Roman" w:hAnsi="Times New Roman" w:cs="Times New Roman"/>
          <w:sz w:val="22"/>
          <w:szCs w:val="22"/>
        </w:rPr>
      </w:pPr>
      <w:r>
        <w:rPr>
          <w:rFonts w:cs="Times New Roman" w:ascii="Times New Roman" w:hAnsi="Times New Roman"/>
          <w:sz w:val="22"/>
          <w:szCs w:val="22"/>
        </w:rPr>
        <w:t>Zasilenie energią elektryczną Gminy Choceń odbywa się z głównych punktów zasilania (GPZ110/15 kV) zlokalizowanych na terenie sąsiednich gmin:</w:t>
      </w:r>
    </w:p>
    <w:p>
      <w:pPr>
        <w:pStyle w:val="ListParagraph"/>
        <w:numPr>
          <w:ilvl w:val="0"/>
          <w:numId w:val="25"/>
        </w:numPr>
        <w:suppressAutoHyphens w:val="true"/>
        <w:spacing w:lineRule="auto" w:line="360" w:before="0" w:after="0"/>
        <w:contextualSpacing/>
        <w:jc w:val="both"/>
        <w:textAlignment w:val="baseline"/>
        <w:rPr>
          <w:sz w:val="22"/>
          <w:szCs w:val="22"/>
        </w:rPr>
      </w:pPr>
      <w:r>
        <w:rPr>
          <w:sz w:val="22"/>
          <w:szCs w:val="22"/>
        </w:rPr>
        <w:t>GPZ 110/15 kV Lubień Kujawski z dwoma transformatorami o mocy 28 MW -podstawowe  źródło zasilania gminy w energię elektryczną,</w:t>
      </w:r>
    </w:p>
    <w:p>
      <w:pPr>
        <w:pStyle w:val="ListParagraph"/>
        <w:numPr>
          <w:ilvl w:val="0"/>
          <w:numId w:val="85"/>
        </w:numPr>
        <w:suppressAutoHyphens w:val="true"/>
        <w:spacing w:lineRule="auto" w:line="360" w:before="0" w:after="0"/>
        <w:contextualSpacing/>
        <w:jc w:val="both"/>
        <w:textAlignment w:val="baseline"/>
        <w:rPr>
          <w:sz w:val="22"/>
          <w:szCs w:val="22"/>
        </w:rPr>
      </w:pPr>
      <w:r>
        <w:rPr>
          <w:sz w:val="22"/>
          <w:szCs w:val="22"/>
        </w:rPr>
        <w:t>GPZ 110/15 kV Lubraniec z jednym transformatorem o mocy 14 MW (bez rezerwy),</w:t>
      </w:r>
    </w:p>
    <w:p>
      <w:pPr>
        <w:pStyle w:val="ListParagraph"/>
        <w:numPr>
          <w:ilvl w:val="0"/>
          <w:numId w:val="86"/>
        </w:numPr>
        <w:suppressAutoHyphens w:val="true"/>
        <w:spacing w:lineRule="auto" w:line="360" w:before="0" w:after="0"/>
        <w:contextualSpacing/>
        <w:jc w:val="both"/>
        <w:textAlignment w:val="baseline"/>
        <w:rPr>
          <w:sz w:val="22"/>
          <w:szCs w:val="22"/>
        </w:rPr>
      </w:pPr>
      <w:r>
        <w:rPr>
          <w:sz w:val="22"/>
          <w:szCs w:val="22"/>
        </w:rPr>
        <w:t>Rozdzielnia sieciowa 15 kV w miejscowości Kruszyn - zasilanie z GPZ Włocławek Wschód  lub GPZ Lubraniec.</w:t>
      </w:r>
    </w:p>
    <w:p>
      <w:pPr>
        <w:pStyle w:val="Standard"/>
        <w:spacing w:lineRule="auto" w:line="360"/>
        <w:jc w:val="both"/>
        <w:rPr>
          <w:rFonts w:ascii="Times New Roman" w:hAnsi="Times New Roman" w:cs="Times New Roman"/>
          <w:sz w:val="22"/>
          <w:szCs w:val="22"/>
        </w:rPr>
      </w:pPr>
      <w:r>
        <w:rPr>
          <w:rFonts w:cs="Times New Roman" w:ascii="Times New Roman" w:hAnsi="Times New Roman"/>
          <w:sz w:val="22"/>
          <w:szCs w:val="22"/>
        </w:rPr>
      </w:r>
    </w:p>
    <w:p>
      <w:pPr>
        <w:pStyle w:val="Standard"/>
        <w:spacing w:lineRule="auto" w:line="360"/>
        <w:ind w:firstLine="720"/>
        <w:jc w:val="both"/>
        <w:rPr>
          <w:rFonts w:ascii="Times New Roman" w:hAnsi="Times New Roman" w:cs="Times New Roman"/>
          <w:sz w:val="22"/>
          <w:szCs w:val="22"/>
        </w:rPr>
      </w:pPr>
      <w:r>
        <w:rPr>
          <w:rFonts w:cs="Times New Roman" w:ascii="Times New Roman" w:hAnsi="Times New Roman"/>
          <w:sz w:val="22"/>
          <w:szCs w:val="22"/>
        </w:rPr>
        <w:t>Obecna sieć zasilająca i rozdzielcza średniego napięcia pracuje na napięciu 15 kV. Pod  względem konfiguracji ma układ linii magistralnych z możliwością drugostronnego zasilania.</w:t>
      </w:r>
    </w:p>
    <w:p>
      <w:pPr>
        <w:pStyle w:val="Standard"/>
        <w:spacing w:lineRule="auto" w:line="360"/>
        <w:ind w:firstLine="720"/>
        <w:jc w:val="both"/>
        <w:rPr>
          <w:rFonts w:ascii="Times New Roman" w:hAnsi="Times New Roman" w:cs="Times New Roman"/>
          <w:sz w:val="22"/>
          <w:szCs w:val="22"/>
        </w:rPr>
      </w:pPr>
      <w:r>
        <w:rPr>
          <w:rFonts w:cs="Times New Roman" w:ascii="Times New Roman" w:hAnsi="Times New Roman"/>
          <w:sz w:val="22"/>
          <w:szCs w:val="22"/>
        </w:rPr>
        <w:t>Natomiast pod kątem charakteru wykonania są to linie napowietrzne.  Przez teren gminy przebiegają następujące linie terenowe - magistralne, napowietrzne:</w:t>
      </w:r>
    </w:p>
    <w:p>
      <w:pPr>
        <w:pStyle w:val="ListParagraph"/>
        <w:numPr>
          <w:ilvl w:val="0"/>
          <w:numId w:val="26"/>
        </w:numPr>
        <w:suppressAutoHyphens w:val="true"/>
        <w:spacing w:lineRule="auto" w:line="360" w:before="0" w:after="0"/>
        <w:contextualSpacing/>
        <w:jc w:val="both"/>
        <w:textAlignment w:val="baseline"/>
        <w:rPr>
          <w:sz w:val="22"/>
          <w:szCs w:val="22"/>
        </w:rPr>
      </w:pPr>
      <w:r>
        <w:rPr>
          <w:sz w:val="22"/>
          <w:szCs w:val="22"/>
        </w:rPr>
        <w:t>GPZ Lubraniec - Kłobia - Śmiłowice - GPZ Lubień Kujawski AFL – 70,</w:t>
      </w:r>
    </w:p>
    <w:p>
      <w:pPr>
        <w:pStyle w:val="ListParagraph"/>
        <w:numPr>
          <w:ilvl w:val="0"/>
          <w:numId w:val="87"/>
        </w:numPr>
        <w:suppressAutoHyphens w:val="true"/>
        <w:spacing w:lineRule="auto" w:line="360" w:before="0" w:after="0"/>
        <w:contextualSpacing/>
        <w:jc w:val="both"/>
        <w:textAlignment w:val="baseline"/>
        <w:rPr>
          <w:sz w:val="22"/>
          <w:szCs w:val="22"/>
        </w:rPr>
      </w:pPr>
      <w:r>
        <w:rPr>
          <w:sz w:val="22"/>
          <w:szCs w:val="22"/>
        </w:rPr>
        <w:t>GPZ Lubraniec - Grójec - Boniewo - Borzymie - GPZ Lubień Kujawski AFL – 70,</w:t>
      </w:r>
    </w:p>
    <w:p>
      <w:pPr>
        <w:pStyle w:val="ListParagraph"/>
        <w:numPr>
          <w:ilvl w:val="0"/>
          <w:numId w:val="88"/>
        </w:numPr>
        <w:suppressAutoHyphens w:val="true"/>
        <w:spacing w:lineRule="auto" w:line="360" w:before="0" w:after="0"/>
        <w:contextualSpacing/>
        <w:jc w:val="both"/>
        <w:textAlignment w:val="baseline"/>
        <w:rPr>
          <w:sz w:val="22"/>
          <w:szCs w:val="22"/>
        </w:rPr>
      </w:pPr>
      <w:r>
        <w:rPr>
          <w:sz w:val="22"/>
          <w:szCs w:val="22"/>
        </w:rPr>
        <w:t>Rozdzielnia sieciowa w Kruszynie do Śmiłowic AFL – 50.</w:t>
      </w:r>
    </w:p>
    <w:p>
      <w:pPr>
        <w:pStyle w:val="Standard"/>
        <w:spacing w:lineRule="auto" w:line="360"/>
        <w:ind w:firstLine="720"/>
        <w:jc w:val="both"/>
        <w:rPr>
          <w:rFonts w:ascii="Times New Roman" w:hAnsi="Times New Roman" w:cs="Times New Roman"/>
          <w:sz w:val="22"/>
          <w:szCs w:val="22"/>
        </w:rPr>
      </w:pPr>
      <w:r>
        <w:rPr>
          <w:rFonts w:cs="Times New Roman" w:ascii="Times New Roman" w:hAnsi="Times New Roman"/>
          <w:sz w:val="22"/>
          <w:szCs w:val="22"/>
        </w:rPr>
        <w:t>Sieć rozdzielczą 15 kV stanowią odchodzące promieniowo od linii magistralnych jako  odgałęzienia, linie napowietrzne AFL-35 i 25 mm2 do stacji transformatorowych 15/0,4 kV  napowietrznych, słupowych. Obecnie wszystkie stacje są zasilane jednostronnie. Stan  techniczny sieci rozdzielczej 15 kV w swojej masie jest zróżnicowany. Istnieje konieczność  modernizacji linii energetycznych średniego napięcia oraz ich rozbudowa związana z rozwojem gminy.</w:t>
      </w:r>
    </w:p>
    <w:p>
      <w:pPr>
        <w:pStyle w:val="Standard"/>
        <w:spacing w:lineRule="auto" w:line="360"/>
        <w:jc w:val="both"/>
        <w:rPr>
          <w:rFonts w:ascii="Times New Roman" w:hAnsi="Times New Roman" w:cs="Times New Roman"/>
          <w:sz w:val="22"/>
          <w:szCs w:val="22"/>
        </w:rPr>
      </w:pPr>
      <w:r>
        <w:rPr>
          <w:rFonts w:cs="Times New Roman" w:ascii="Times New Roman" w:hAnsi="Times New Roman"/>
          <w:sz w:val="22"/>
          <w:szCs w:val="22"/>
        </w:rPr>
      </w:r>
    </w:p>
    <w:p>
      <w:pPr>
        <w:pStyle w:val="Standard"/>
        <w:spacing w:lineRule="auto" w:line="360"/>
        <w:jc w:val="both"/>
        <w:rPr>
          <w:rFonts w:ascii="Times New Roman" w:hAnsi="Times New Roman" w:cs="Times New Roman"/>
          <w:sz w:val="22"/>
          <w:szCs w:val="22"/>
        </w:rPr>
      </w:pPr>
      <w:r>
        <w:rPr>
          <w:rFonts w:cs="Times New Roman" w:ascii="Times New Roman" w:hAnsi="Times New Roman"/>
          <w:sz w:val="22"/>
          <w:szCs w:val="22"/>
        </w:rPr>
        <w:t>Zaopatrzenie w ciepło</w:t>
      </w:r>
    </w:p>
    <w:p>
      <w:pPr>
        <w:pStyle w:val="Standard"/>
        <w:spacing w:lineRule="auto" w:line="360"/>
        <w:ind w:firstLine="720"/>
        <w:jc w:val="both"/>
        <w:rPr>
          <w:rFonts w:ascii="Times New Roman" w:hAnsi="Times New Roman" w:cs="Times New Roman"/>
          <w:sz w:val="22"/>
          <w:szCs w:val="22"/>
        </w:rPr>
      </w:pPr>
      <w:r>
        <w:rPr>
          <w:rFonts w:cs="Times New Roman" w:ascii="Times New Roman" w:hAnsi="Times New Roman"/>
          <w:sz w:val="22"/>
          <w:szCs w:val="22"/>
        </w:rPr>
        <w:t>Zaopatrzenie mieszkańców gminy w ciepło oparte jest na indywidualnych źródłach ciepła  i kotłowniach zakładowych. Urządzenia te opalane głównie węglem emitują do atmosfery  SO2, NO2 i CO2 w ilościach, które dla pojedynczego źródła ciepła wydają się małe, ale są  bardzo uciążliwe ze względu na bezpośredniość oddziaływania.</w:t>
      </w:r>
    </w:p>
    <w:p>
      <w:pPr>
        <w:pStyle w:val="Standard"/>
        <w:spacing w:lineRule="auto" w:line="360"/>
        <w:jc w:val="both"/>
        <w:rPr>
          <w:rFonts w:ascii="Times New Roman" w:hAnsi="Times New Roman" w:cs="Times New Roman"/>
          <w:sz w:val="22"/>
          <w:szCs w:val="22"/>
        </w:rPr>
      </w:pPr>
      <w:r>
        <w:rPr>
          <w:rFonts w:cs="Times New Roman" w:ascii="Times New Roman" w:hAnsi="Times New Roman"/>
          <w:sz w:val="22"/>
          <w:szCs w:val="22"/>
        </w:rPr>
      </w:r>
    </w:p>
    <w:p>
      <w:pPr>
        <w:pStyle w:val="Standard"/>
        <w:spacing w:lineRule="auto" w:line="360"/>
        <w:jc w:val="both"/>
        <w:rPr>
          <w:rFonts w:ascii="Times New Roman" w:hAnsi="Times New Roman" w:cs="Times New Roman"/>
          <w:sz w:val="22"/>
          <w:szCs w:val="22"/>
        </w:rPr>
      </w:pPr>
      <w:r>
        <w:rPr>
          <w:rFonts w:cs="Times New Roman" w:ascii="Times New Roman" w:hAnsi="Times New Roman"/>
          <w:sz w:val="22"/>
          <w:szCs w:val="22"/>
        </w:rPr>
        <w:t>Zaopatrzenie w gaz</w:t>
      </w:r>
    </w:p>
    <w:p>
      <w:pPr>
        <w:pStyle w:val="Standard"/>
        <w:spacing w:lineRule="auto" w:line="360"/>
        <w:ind w:firstLine="720"/>
        <w:jc w:val="both"/>
        <w:rPr>
          <w:rFonts w:ascii="Times New Roman" w:hAnsi="Times New Roman" w:cs="Times New Roman"/>
          <w:sz w:val="22"/>
          <w:szCs w:val="22"/>
        </w:rPr>
      </w:pPr>
      <w:r>
        <w:rPr>
          <w:rFonts w:cs="Times New Roman" w:ascii="Times New Roman" w:hAnsi="Times New Roman"/>
          <w:sz w:val="22"/>
          <w:szCs w:val="22"/>
        </w:rPr>
        <w:t>Zgodnie z „Koncepcją programową gazyfikacji” Gminy Choceń istnieje możliwość  gazyfikacji gazem ziemnym wysokometanowym. Źródłem zasilania będzie projektowany  gazociąg DN 150 relacji Choceń – Lubień Kujawski jako odgałęzienie od istniejącego  gazociągu DN 500 Gustorzyn – Gostynin, który przebiega przez północny obszar Gminy Choceń.</w:t>
      </w:r>
    </w:p>
    <w:p>
      <w:pPr>
        <w:pStyle w:val="Standard"/>
        <w:spacing w:lineRule="auto" w:line="360"/>
        <w:jc w:val="both"/>
        <w:rPr>
          <w:rFonts w:ascii="Times New Roman" w:hAnsi="Times New Roman" w:cs="Times New Roman"/>
          <w:sz w:val="22"/>
          <w:szCs w:val="22"/>
          <w:shd w:fill="FFFFFF" w:val="clear"/>
        </w:rPr>
      </w:pPr>
      <w:r>
        <w:rPr>
          <w:rFonts w:cs="Times New Roman" w:ascii="Times New Roman" w:hAnsi="Times New Roman"/>
          <w:sz w:val="22"/>
          <w:szCs w:val="22"/>
          <w:shd w:fill="FFFFFF" w:val="clear"/>
        </w:rPr>
      </w:r>
    </w:p>
    <w:p>
      <w:pPr>
        <w:pStyle w:val="Nagwek2"/>
        <w:spacing w:lineRule="auto" w:line="360" w:before="0" w:after="0"/>
        <w:rPr>
          <w:rFonts w:ascii="Times New Roman" w:hAnsi="Times New Roman" w:cs="Times New Roman"/>
          <w:shd w:fill="FFFFFF" w:val="clear"/>
        </w:rPr>
      </w:pPr>
      <w:bookmarkStart w:id="12" w:name="_Toc85228961"/>
      <w:bookmarkStart w:id="13" w:name="_Toc70257476"/>
      <w:r>
        <w:rPr>
          <w:rFonts w:cs="Times New Roman" w:ascii="Times New Roman" w:hAnsi="Times New Roman"/>
          <w:shd w:fill="FFFFFF" w:val="clear"/>
        </w:rPr>
        <w:t>Media wodno-kanalizacyjne</w:t>
      </w:r>
      <w:bookmarkEnd w:id="12"/>
      <w:bookmarkEnd w:id="13"/>
    </w:p>
    <w:p>
      <w:pPr>
        <w:pStyle w:val="Standard"/>
        <w:spacing w:lineRule="auto" w:line="360"/>
        <w:jc w:val="both"/>
        <w:rPr>
          <w:rFonts w:ascii="Times New Roman" w:hAnsi="Times New Roman" w:cs="Times New Roman"/>
          <w:sz w:val="22"/>
          <w:szCs w:val="22"/>
        </w:rPr>
      </w:pPr>
      <w:r>
        <w:rPr>
          <w:rFonts w:cs="Times New Roman" w:ascii="Times New Roman" w:hAnsi="Times New Roman"/>
          <w:sz w:val="22"/>
          <w:szCs w:val="22"/>
        </w:rPr>
      </w:r>
    </w:p>
    <w:p>
      <w:pPr>
        <w:pStyle w:val="Standard"/>
        <w:spacing w:lineRule="auto" w:line="360"/>
        <w:jc w:val="both"/>
        <w:rPr>
          <w:rFonts w:ascii="Times New Roman" w:hAnsi="Times New Roman" w:cs="Times New Roman"/>
          <w:sz w:val="22"/>
          <w:szCs w:val="22"/>
        </w:rPr>
      </w:pPr>
      <w:r>
        <w:rPr>
          <w:rFonts w:cs="Times New Roman" w:ascii="Times New Roman" w:hAnsi="Times New Roman"/>
          <w:sz w:val="22"/>
          <w:szCs w:val="22"/>
        </w:rPr>
        <w:t>Gospodarka wodna - zaopatrzenie w wodę</w:t>
      </w:r>
    </w:p>
    <w:p>
      <w:pPr>
        <w:pStyle w:val="Standard"/>
        <w:spacing w:lineRule="auto" w:line="360"/>
        <w:ind w:firstLine="720"/>
        <w:jc w:val="both"/>
        <w:rPr>
          <w:rFonts w:ascii="Times New Roman" w:hAnsi="Times New Roman" w:cs="Times New Roman"/>
          <w:sz w:val="22"/>
          <w:szCs w:val="22"/>
        </w:rPr>
      </w:pPr>
      <w:r>
        <w:rPr>
          <w:rFonts w:cs="Times New Roman" w:ascii="Times New Roman" w:hAnsi="Times New Roman"/>
          <w:sz w:val="22"/>
          <w:szCs w:val="22"/>
        </w:rPr>
        <w:t>Gmina Choceń zwodociągowana jest prawie w 100%. Na terenie Gminy Choceń znajduje się  218,4 km sieci wodociągowej. Celem Gminy w zakresie systemu wodociągowego jest  utrzymanie stopnia zwodociągowania na poziomie 100 % poprzez dostarczanie wody do miejsc w których planuje się budowę nowych osiedli zabudowy jednorodzinnej, stąd gmina na bieżąco realizuje inwestycje budowy nowych odcinków sieci z udziałem środków unijnych.</w:t>
      </w:r>
    </w:p>
    <w:p>
      <w:pPr>
        <w:pStyle w:val="Standard"/>
        <w:spacing w:lineRule="auto" w:line="360"/>
        <w:ind w:firstLine="720"/>
        <w:jc w:val="both"/>
        <w:rPr>
          <w:rFonts w:ascii="Times New Roman" w:hAnsi="Times New Roman" w:cs="Times New Roman"/>
          <w:sz w:val="22"/>
          <w:szCs w:val="22"/>
        </w:rPr>
      </w:pPr>
      <w:r>
        <w:rPr>
          <w:rFonts w:cs="Times New Roman" w:ascii="Times New Roman" w:hAnsi="Times New Roman"/>
          <w:sz w:val="22"/>
          <w:szCs w:val="22"/>
        </w:rPr>
        <w:t>Główne trasy sieci wodociągowej przebiegają wzdłuż dróg komunikacyjnych.</w:t>
      </w:r>
    </w:p>
    <w:p>
      <w:pPr>
        <w:pStyle w:val="Standard"/>
        <w:spacing w:lineRule="auto" w:line="360"/>
        <w:jc w:val="both"/>
        <w:rPr>
          <w:rFonts w:ascii="Times New Roman" w:hAnsi="Times New Roman" w:cs="Times New Roman"/>
          <w:sz w:val="22"/>
          <w:szCs w:val="22"/>
        </w:rPr>
      </w:pPr>
      <w:r>
        <w:rPr>
          <w:rFonts w:cs="Times New Roman" w:ascii="Times New Roman" w:hAnsi="Times New Roman"/>
          <w:sz w:val="22"/>
          <w:szCs w:val="22"/>
        </w:rPr>
        <w:t>Ogólnie stan sieci wodociągowej jest w różnym stanie technicznym w zależności od okresu  realizacji. Istniejące stare sieci wodociągowe są na bieżąco remontowane, poddawane</w:t>
      </w:r>
    </w:p>
    <w:p>
      <w:pPr>
        <w:pStyle w:val="Standard"/>
        <w:spacing w:lineRule="auto" w:line="360"/>
        <w:jc w:val="both"/>
        <w:rPr>
          <w:rFonts w:ascii="Times New Roman" w:hAnsi="Times New Roman" w:cs="Times New Roman"/>
          <w:sz w:val="22"/>
          <w:szCs w:val="22"/>
        </w:rPr>
      </w:pPr>
      <w:r>
        <w:rPr>
          <w:rFonts w:cs="Times New Roman" w:ascii="Times New Roman" w:hAnsi="Times New Roman"/>
          <w:sz w:val="22"/>
          <w:szCs w:val="22"/>
        </w:rPr>
        <w:t>renowacji i wymieniane. W gminie funkcjonują publiczne urządzenia zaopatrzenia w wodę.</w:t>
      </w:r>
    </w:p>
    <w:p>
      <w:pPr>
        <w:pStyle w:val="Standard"/>
        <w:spacing w:lineRule="auto" w:line="360"/>
        <w:ind w:firstLine="720"/>
        <w:jc w:val="both"/>
        <w:rPr>
          <w:rFonts w:ascii="Times New Roman" w:hAnsi="Times New Roman" w:cs="Times New Roman"/>
          <w:sz w:val="22"/>
          <w:szCs w:val="22"/>
        </w:rPr>
      </w:pPr>
      <w:r>
        <w:rPr>
          <w:rFonts w:cs="Times New Roman" w:ascii="Times New Roman" w:hAnsi="Times New Roman"/>
          <w:sz w:val="22"/>
          <w:szCs w:val="22"/>
        </w:rPr>
        <w:t>Główne ujęcia wody dla mieszkańców Gminy Choceń to:</w:t>
      </w:r>
    </w:p>
    <w:p>
      <w:pPr>
        <w:pStyle w:val="ListParagraph"/>
        <w:numPr>
          <w:ilvl w:val="0"/>
          <w:numId w:val="27"/>
        </w:numPr>
        <w:suppressAutoHyphens w:val="true"/>
        <w:spacing w:lineRule="auto" w:line="360" w:before="0" w:after="0"/>
        <w:contextualSpacing/>
        <w:jc w:val="both"/>
        <w:textAlignment w:val="baseline"/>
        <w:rPr>
          <w:sz w:val="22"/>
          <w:szCs w:val="22"/>
        </w:rPr>
      </w:pPr>
      <w:r>
        <w:rPr>
          <w:sz w:val="22"/>
          <w:szCs w:val="22"/>
        </w:rPr>
        <w:t>Wodociąg grupowy Choceń – ze stacją uzdatniania wody w Choceniu . Ujęcie składa  się z trzech studni głębinowych o zasobach w kategorii „B”; Q = 36 m3 h zatwierdzonych  Decyzją Urzędu Wojewódzkiego we Włocławku OS-8530-20/89 z dnia 26.04.1989 r. ujęcie  wody objęte jest pozwoleniem wodno - prawnym wydanym przez Starostę Włocławskiego  z 14 marca 2014 r., znak OŚB.6341.7.2014 obowiązującym do 14 marca 2024 r.</w:t>
      </w:r>
    </w:p>
    <w:p>
      <w:pPr>
        <w:pStyle w:val="ListParagraph"/>
        <w:numPr>
          <w:ilvl w:val="0"/>
          <w:numId w:val="89"/>
        </w:numPr>
        <w:suppressAutoHyphens w:val="true"/>
        <w:spacing w:lineRule="auto" w:line="360" w:before="0" w:after="0"/>
        <w:contextualSpacing/>
        <w:jc w:val="both"/>
        <w:textAlignment w:val="baseline"/>
        <w:rPr>
          <w:sz w:val="22"/>
          <w:szCs w:val="22"/>
        </w:rPr>
      </w:pPr>
      <w:r>
        <w:rPr>
          <w:sz w:val="22"/>
          <w:szCs w:val="22"/>
        </w:rPr>
        <w:t>Wodociąg grupowy Śmiłowice – ze stacją uzdatniania wody w Śmiłowicach. Ujęcie składa  się z sześciu studni głębinowych o zasobach w kategorii „B”; Q = 105 m3h zatwierdzonych  Decyzją Urzędu Wojewódzkiego we Włocławku GT-II-8530/36/80 z dn. 5.11.1980 r. ujęcie  wody objęte jest pozwoleniem wodno - prawnym wydanym przez Starostę Włocławskiego  z dnia 14 marca 2014 r., znak OŚB.6341.8.2014 obowiązującym do 02.01.2024 r.</w:t>
      </w:r>
    </w:p>
    <w:p>
      <w:pPr>
        <w:pStyle w:val="Standard"/>
        <w:spacing w:lineRule="auto" w:line="360"/>
        <w:jc w:val="both"/>
        <w:rPr>
          <w:rFonts w:ascii="Times New Roman" w:hAnsi="Times New Roman" w:cs="Times New Roman"/>
          <w:sz w:val="22"/>
          <w:szCs w:val="22"/>
        </w:rPr>
      </w:pPr>
      <w:r>
        <w:rPr>
          <w:rFonts w:cs="Times New Roman" w:ascii="Times New Roman" w:hAnsi="Times New Roman"/>
          <w:sz w:val="22"/>
          <w:szCs w:val="22"/>
        </w:rPr>
        <w:tab/>
        <w:t xml:space="preserve">Ilość podłączeń wodociągowych prowadzących do budynków mieszkalnych wynosiła </w:t>
        <w:tab/>
        <w:t>na  koniec 2020  r. 1279 sztuk.</w:t>
      </w:r>
    </w:p>
    <w:p>
      <w:pPr>
        <w:pStyle w:val="Standard"/>
        <w:spacing w:lineRule="auto" w:line="360"/>
        <w:rPr>
          <w:rFonts w:ascii="Times New Roman" w:hAnsi="Times New Roman" w:cs="Times New Roman"/>
          <w:sz w:val="22"/>
          <w:szCs w:val="22"/>
        </w:rPr>
      </w:pPr>
      <w:r>
        <w:rPr>
          <w:rFonts w:cs="Times New Roman" w:ascii="Times New Roman" w:hAnsi="Times New Roman"/>
          <w:sz w:val="22"/>
          <w:szCs w:val="22"/>
        </w:rPr>
        <w:tab/>
        <w:t>Pozytywnym elementem zmian w zakresie gospodarki ściekowej na terenie gminy Choceń jest</w:t>
      </w:r>
    </w:p>
    <w:p>
      <w:pPr>
        <w:pStyle w:val="Standard"/>
        <w:spacing w:lineRule="auto" w:line="360"/>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rozbudowa sieci kanalizacyjnej oraz funkcjonowanie oczyszczalni przydomowych. Jednym ze sposobów rozwiązywania problemu zanieczyszczeń dopływających do wód stanowiących źródła obszarowe powstające głównie w wyniku rolniczego użytkowania gruntów, spływów z ciągów komunikacyjnych i terenów zainwestowanych jest wyznaczenie tzw aglomeracji, obejmujących obszary kwalifikujące się do budowy kanalizacji. W aglomeracji Choceń zlokalizowana jest oczyszczalnia ścieków, której obszar obejmuje miejscowość Choceń, Czerniewice, Wilkowice, Wilkowiczki, Borzymie, Jarantowice, Śmiłowice. Funkcjonuje tu sieć o długości 72 km zakończona mechaniczno – biologiczną oczyszczalnią ścieków zlokalizowaną w Choceniu.</w:t>
      </w:r>
    </w:p>
    <w:p>
      <w:pPr>
        <w:pStyle w:val="Standard"/>
        <w:spacing w:lineRule="auto" w:line="360"/>
        <w:rPr>
          <w:rFonts w:ascii="Times New Roman" w:hAnsi="Times New Roman" w:cs="Times New Roman"/>
          <w:sz w:val="22"/>
          <w:szCs w:val="22"/>
        </w:rPr>
      </w:pPr>
      <w:r>
        <w:rPr>
          <w:rFonts w:cs="Times New Roman" w:ascii="Times New Roman" w:hAnsi="Times New Roman"/>
          <w:sz w:val="22"/>
          <w:szCs w:val="22"/>
        </w:rPr>
      </w:r>
    </w:p>
    <w:p>
      <w:pPr>
        <w:pStyle w:val="Standard"/>
        <w:spacing w:lineRule="auto" w:line="360"/>
        <w:ind w:firstLine="720"/>
        <w:jc w:val="both"/>
        <w:rPr>
          <w:rFonts w:ascii="Times New Roman" w:hAnsi="Times New Roman" w:cs="Times New Roman"/>
          <w:sz w:val="22"/>
          <w:szCs w:val="22"/>
        </w:rPr>
      </w:pPr>
      <w:r>
        <w:rPr>
          <w:rFonts w:cs="Times New Roman" w:ascii="Times New Roman" w:hAnsi="Times New Roman"/>
          <w:sz w:val="22"/>
          <w:szCs w:val="22"/>
        </w:rPr>
        <w:t>Przepustowość oczyszczali ścieków wyrażona jest w RML jest mniejsza niż Równoważna Liczba Mieszkańców aglomeracji Choceń jednak oczyszczalnia spełnia wymagania pozwolenia wodno – prawnego. Przy 91% skanalizowaniu aglomeracji średnie obciążenie oczyszczali wynosi 267 m3/d przy maksymalnym 320 m3/d. Średniodobowe obciążenie ściekami dowożonymi przez wozy asenizacyjne wynosi 5,5 m3/d. Docelowo planowana jest modernizacja oczyszczalni w celu zwiększenia przepustowości do 600m3/d. Obecnie do sieci podłączonych jest 5959 mieszkańców. Dla aglomeracji Choceń jest obecnie przebudowywana oczyszczalnia ścieków w Choceniu. Na pozostałym obszarze gospodarka ściekowa została uregulowana poprzez budowę przydomowych oczyszczalni ścieków.</w:t>
      </w:r>
    </w:p>
    <w:p>
      <w:pPr>
        <w:pStyle w:val="Standard"/>
        <w:spacing w:lineRule="auto" w:line="360"/>
        <w:jc w:val="both"/>
        <w:rPr>
          <w:rFonts w:ascii="Times New Roman" w:hAnsi="Times New Roman" w:cs="Times New Roman"/>
          <w:sz w:val="22"/>
          <w:szCs w:val="22"/>
        </w:rPr>
      </w:pPr>
      <w:r>
        <w:rPr>
          <w:rFonts w:cs="Times New Roman" w:ascii="Times New Roman" w:hAnsi="Times New Roman"/>
          <w:sz w:val="22"/>
          <w:szCs w:val="22"/>
        </w:rPr>
        <w:t xml:space="preserve"> </w:t>
      </w:r>
      <w:r>
        <w:rPr>
          <w:rFonts w:cs="Times New Roman" w:ascii="Times New Roman" w:hAnsi="Times New Roman"/>
          <w:sz w:val="22"/>
          <w:szCs w:val="22"/>
        </w:rPr>
        <w:t>Przydomowa oczyszczalnia ścieków to  ekologiczne urządzenie do domów, położonych w gminach o rozproszonej zabudowie,  w których poprowadzenie sieci zbiorczej kanalizacji sanitarnej jest nieopłacalne.</w:t>
      </w:r>
    </w:p>
    <w:p>
      <w:pPr>
        <w:pStyle w:val="Standard"/>
        <w:spacing w:lineRule="auto" w:line="360"/>
        <w:ind w:firstLine="720"/>
        <w:jc w:val="both"/>
        <w:rPr>
          <w:rFonts w:ascii="Times New Roman" w:hAnsi="Times New Roman" w:cs="Times New Roman"/>
          <w:sz w:val="22"/>
          <w:szCs w:val="22"/>
        </w:rPr>
      </w:pPr>
      <w:r>
        <w:rPr>
          <w:rFonts w:cs="Times New Roman" w:ascii="Times New Roman" w:hAnsi="Times New Roman"/>
          <w:sz w:val="22"/>
          <w:szCs w:val="22"/>
        </w:rPr>
        <w:t>We wszystkich rodzajach przydomowych oczyszczalni najpierw następuje etap beztlenowego, a potem etap tlenowego oczyszczania ścieków. Obecnie przy dofinansowaniu z Unii Europejskiej zostało wybudowanych 396 przydomowych oczyszczalni ścieków. Gmina kontynuuje na bieżąco budowę biologicznych przydomowych oczyszczalni ścieków.</w:t>
      </w:r>
    </w:p>
    <w:p>
      <w:pPr>
        <w:pStyle w:val="Nagwek2"/>
        <w:rPr>
          <w:rFonts w:ascii="Times New Roman" w:hAnsi="Times New Roman" w:cs="Times New Roman"/>
          <w:shd w:fill="FFFFFF" w:val="clear"/>
        </w:rPr>
      </w:pPr>
      <w:bookmarkStart w:id="14" w:name="_Toc85228962"/>
      <w:bookmarkStart w:id="15" w:name="_Toc70257477"/>
      <w:r>
        <w:rPr>
          <w:rFonts w:cs="Times New Roman" w:ascii="Times New Roman" w:hAnsi="Times New Roman"/>
          <w:shd w:fill="FFFFFF" w:val="clear"/>
        </w:rPr>
        <w:t>Podstawowe informacje o strukturze edukacyjnej</w:t>
      </w:r>
      <w:bookmarkEnd w:id="14"/>
      <w:bookmarkEnd w:id="15"/>
    </w:p>
    <w:p>
      <w:pPr>
        <w:pStyle w:val="Standard"/>
        <w:spacing w:lineRule="auto" w:line="360"/>
        <w:ind w:firstLine="720"/>
        <w:jc w:val="both"/>
        <w:rPr>
          <w:rFonts w:ascii="Times New Roman" w:hAnsi="Times New Roman" w:cs="Times New Roman"/>
          <w:sz w:val="22"/>
          <w:szCs w:val="22"/>
        </w:rPr>
      </w:pPr>
      <w:r>
        <w:rPr>
          <w:rFonts w:cs="Times New Roman" w:ascii="Times New Roman" w:hAnsi="Times New Roman"/>
          <w:sz w:val="22"/>
          <w:szCs w:val="22"/>
        </w:rPr>
      </w:r>
    </w:p>
    <w:p>
      <w:pPr>
        <w:pStyle w:val="Standard"/>
        <w:spacing w:lineRule="auto" w:line="360"/>
        <w:ind w:firstLine="720"/>
        <w:jc w:val="both"/>
        <w:rPr>
          <w:rFonts w:ascii="Times New Roman" w:hAnsi="Times New Roman" w:cs="Times New Roman"/>
          <w:sz w:val="22"/>
          <w:szCs w:val="22"/>
        </w:rPr>
      </w:pPr>
      <w:r>
        <w:rPr>
          <w:rFonts w:cs="Times New Roman" w:ascii="Times New Roman" w:hAnsi="Times New Roman"/>
          <w:sz w:val="22"/>
          <w:szCs w:val="22"/>
        </w:rPr>
        <w:t>W Gminie Choceń działają liczne placówki oświatowe: żłobek, przedszkola niepubliczne, przedszkole samorządowe, szkoły podstawowe oraz szkoły średnie (dla tych ostatnich  organem prowadzącym jest Towarzystwo Edukacji, Promocji i Kultury Gminy Choceń).</w:t>
      </w:r>
    </w:p>
    <w:p>
      <w:pPr>
        <w:pStyle w:val="Standard"/>
        <w:spacing w:lineRule="auto" w:line="360"/>
        <w:ind w:firstLine="720"/>
        <w:jc w:val="both"/>
        <w:rPr>
          <w:rFonts w:ascii="Times New Roman" w:hAnsi="Times New Roman" w:cs="Times New Roman"/>
          <w:sz w:val="22"/>
          <w:szCs w:val="22"/>
        </w:rPr>
      </w:pPr>
      <w:r>
        <w:rPr>
          <w:rFonts w:cs="Times New Roman" w:ascii="Times New Roman" w:hAnsi="Times New Roman"/>
          <w:sz w:val="22"/>
          <w:szCs w:val="22"/>
        </w:rPr>
        <w:t>Gmina Choceń jest organem prowadzącym dla następujących placówek szkolnych:</w:t>
      </w:r>
    </w:p>
    <w:p>
      <w:pPr>
        <w:pStyle w:val="ListParagraph"/>
        <w:numPr>
          <w:ilvl w:val="0"/>
          <w:numId w:val="90"/>
        </w:numPr>
        <w:suppressAutoHyphens w:val="true"/>
        <w:spacing w:lineRule="auto" w:line="360" w:before="0" w:after="0"/>
        <w:contextualSpacing/>
        <w:jc w:val="both"/>
        <w:textAlignment w:val="baseline"/>
        <w:rPr>
          <w:sz w:val="22"/>
          <w:szCs w:val="22"/>
        </w:rPr>
      </w:pPr>
      <w:r>
        <w:rPr>
          <w:sz w:val="22"/>
          <w:szCs w:val="22"/>
        </w:rPr>
        <w:t>Zespół Szkolno-Przedszkolny w Choceniu w skład zespołu wchodzi:</w:t>
      </w:r>
    </w:p>
    <w:p>
      <w:pPr>
        <w:pStyle w:val="ListParagraph"/>
        <w:numPr>
          <w:ilvl w:val="0"/>
          <w:numId w:val="28"/>
        </w:numPr>
        <w:suppressAutoHyphens w:val="true"/>
        <w:spacing w:lineRule="auto" w:line="360" w:before="0" w:after="0"/>
        <w:contextualSpacing/>
        <w:jc w:val="both"/>
        <w:textAlignment w:val="baseline"/>
        <w:rPr>
          <w:sz w:val="22"/>
          <w:szCs w:val="22"/>
        </w:rPr>
      </w:pPr>
      <w:r>
        <w:rPr>
          <w:sz w:val="22"/>
          <w:szCs w:val="22"/>
        </w:rPr>
        <w:t>Szkoła Podstawowa im. Janusza Korczaka w Choceniu,</w:t>
      </w:r>
    </w:p>
    <w:p>
      <w:pPr>
        <w:pStyle w:val="ListParagraph"/>
        <w:numPr>
          <w:ilvl w:val="0"/>
          <w:numId w:val="91"/>
        </w:numPr>
        <w:suppressAutoHyphens w:val="true"/>
        <w:spacing w:lineRule="auto" w:line="360" w:before="0" w:after="0"/>
        <w:contextualSpacing/>
        <w:jc w:val="both"/>
        <w:textAlignment w:val="baseline"/>
        <w:rPr>
          <w:sz w:val="22"/>
          <w:szCs w:val="22"/>
        </w:rPr>
      </w:pPr>
      <w:r>
        <w:rPr>
          <w:sz w:val="22"/>
          <w:szCs w:val="22"/>
        </w:rPr>
        <w:t>Przedszkole Samorządowe w Choceniu,</w:t>
      </w:r>
    </w:p>
    <w:p>
      <w:pPr>
        <w:pStyle w:val="ListParagraph"/>
        <w:numPr>
          <w:ilvl w:val="0"/>
          <w:numId w:val="92"/>
        </w:numPr>
        <w:suppressAutoHyphens w:val="true"/>
        <w:spacing w:lineRule="auto" w:line="360" w:before="0" w:after="0"/>
        <w:contextualSpacing/>
        <w:jc w:val="both"/>
        <w:textAlignment w:val="baseline"/>
        <w:rPr>
          <w:sz w:val="22"/>
          <w:szCs w:val="22"/>
        </w:rPr>
      </w:pPr>
      <w:r>
        <w:rPr>
          <w:sz w:val="22"/>
          <w:szCs w:val="22"/>
        </w:rPr>
        <w:t>Szkoła Podstawowa w Wilkowicach wraz z oddziałem zerowym.</w:t>
      </w:r>
    </w:p>
    <w:p>
      <w:pPr>
        <w:pStyle w:val="ListParagraph"/>
        <w:numPr>
          <w:ilvl w:val="0"/>
          <w:numId w:val="93"/>
        </w:numPr>
        <w:suppressAutoHyphens w:val="true"/>
        <w:spacing w:lineRule="auto" w:line="360" w:before="0" w:after="0"/>
        <w:contextualSpacing/>
        <w:jc w:val="both"/>
        <w:textAlignment w:val="baseline"/>
        <w:rPr>
          <w:sz w:val="22"/>
          <w:szCs w:val="22"/>
        </w:rPr>
      </w:pPr>
      <w:r>
        <w:rPr>
          <w:sz w:val="22"/>
          <w:szCs w:val="22"/>
        </w:rPr>
        <w:t>Szkoła Podstawowa w Śmiłowicach.</w:t>
      </w:r>
    </w:p>
    <w:p>
      <w:pPr>
        <w:pStyle w:val="Standard"/>
        <w:spacing w:lineRule="auto" w:line="360"/>
        <w:jc w:val="both"/>
        <w:rPr>
          <w:rFonts w:ascii="Times New Roman" w:hAnsi="Times New Roman" w:cs="Times New Roman"/>
          <w:sz w:val="22"/>
          <w:szCs w:val="22"/>
        </w:rPr>
      </w:pPr>
      <w:r>
        <w:rPr>
          <w:rFonts w:cs="Times New Roman" w:ascii="Times New Roman" w:hAnsi="Times New Roman"/>
          <w:sz w:val="22"/>
          <w:szCs w:val="22"/>
        </w:rPr>
      </w:r>
    </w:p>
    <w:p>
      <w:pPr>
        <w:pStyle w:val="Standard"/>
        <w:spacing w:lineRule="auto" w:line="360"/>
        <w:ind w:firstLine="360"/>
        <w:jc w:val="both"/>
        <w:rPr>
          <w:rFonts w:ascii="Times New Roman" w:hAnsi="Times New Roman" w:cs="Times New Roman"/>
          <w:sz w:val="22"/>
          <w:szCs w:val="22"/>
        </w:rPr>
      </w:pPr>
      <w:r>
        <w:rPr>
          <w:rFonts w:cs="Times New Roman" w:ascii="Times New Roman" w:hAnsi="Times New Roman"/>
          <w:sz w:val="22"/>
          <w:szCs w:val="22"/>
        </w:rPr>
        <w:t>Ponadto poza wyżej wymienionymi placówkami od 2019 r. na terenie gminy funkcjonuje  Żłobek „Pomponik” w Choceniu dla którego organem prowadzącym jest Gmina Choceń.  Żłobek przeznaczony jest dla dzieci od 20 tygodnia do 3 lat. Obecnie do żłobka uczęszcza 25  dzieci. Na terenie gminy funkcjonują również 3 niepubliczne przedszkola.</w:t>
      </w:r>
    </w:p>
    <w:p>
      <w:pPr>
        <w:pStyle w:val="Nagwek2"/>
        <w:rPr>
          <w:rFonts w:ascii="Times New Roman" w:hAnsi="Times New Roman" w:cs="Times New Roman"/>
        </w:rPr>
      </w:pPr>
      <w:bookmarkStart w:id="16" w:name="_Toc85228963"/>
      <w:bookmarkStart w:id="17" w:name="_Toc70257478"/>
      <w:r>
        <w:rPr>
          <w:rFonts w:cs="Times New Roman" w:ascii="Times New Roman" w:hAnsi="Times New Roman"/>
          <w:shd w:fill="FFFFFF" w:val="clear"/>
        </w:rPr>
        <w:t>Światłowód</w:t>
      </w:r>
      <w:bookmarkEnd w:id="16"/>
      <w:bookmarkEnd w:id="17"/>
    </w:p>
    <w:p>
      <w:pPr>
        <w:pStyle w:val="Standard"/>
        <w:spacing w:lineRule="auto" w:line="360"/>
        <w:rPr>
          <w:rFonts w:ascii="Times New Roman" w:hAnsi="Times New Roman" w:cs="Times New Roman"/>
          <w:sz w:val="22"/>
          <w:szCs w:val="22"/>
          <w:shd w:fill="FFFFFF" w:val="clear"/>
        </w:rPr>
      </w:pPr>
      <w:r>
        <w:rPr>
          <w:rFonts w:cs="Times New Roman" w:ascii="Times New Roman" w:hAnsi="Times New Roman"/>
          <w:sz w:val="22"/>
          <w:szCs w:val="22"/>
          <w:shd w:fill="FFFFFF" w:val="clear"/>
        </w:rPr>
        <w:t>Na terenie naszej gminy prowadzone są prace budowy sieci światłowodowej. Projekt realizowany jest w ramach zadania POLSKA CYFROWA POPC-3 „ Wyeliminowanie terytorialnych różnic w możliwości dostępu do szerokopasmowego internetu o wysokich przepustowościach”. Ze względów technicznych przewody są podwieszane na istniejących słupach energetycznych a tylko w nielicznych przypadkach zakopywane w ziemi.</w:t>
      </w:r>
    </w:p>
    <w:p>
      <w:pPr>
        <w:pStyle w:val="Nagwek2"/>
        <w:rPr>
          <w:rFonts w:ascii="Times New Roman" w:hAnsi="Times New Roman" w:cs="Times New Roman"/>
        </w:rPr>
      </w:pPr>
      <w:bookmarkStart w:id="18" w:name="_Toc85228964"/>
      <w:bookmarkStart w:id="19" w:name="_Toc70257479"/>
      <w:r>
        <w:rPr>
          <w:rFonts w:cs="Times New Roman" w:ascii="Times New Roman" w:hAnsi="Times New Roman"/>
        </w:rPr>
        <w:t>Nieruchomości i tereny inwestycyjne</w:t>
      </w:r>
      <w:bookmarkEnd w:id="18"/>
      <w:bookmarkEnd w:id="19"/>
    </w:p>
    <w:p>
      <w:pPr>
        <w:pStyle w:val="Standard"/>
        <w:spacing w:lineRule="auto" w:line="360"/>
        <w:rPr>
          <w:rFonts w:ascii="Times New Roman" w:hAnsi="Times New Roman" w:cs="Times New Roman"/>
          <w:sz w:val="22"/>
          <w:szCs w:val="22"/>
          <w:shd w:fill="FFFFFF" w:val="clear"/>
        </w:rPr>
      </w:pPr>
      <w:r>
        <w:rPr>
          <w:rFonts w:cs="Times New Roman" w:ascii="Times New Roman" w:hAnsi="Times New Roman"/>
          <w:sz w:val="22"/>
          <w:szCs w:val="22"/>
          <w:shd w:fill="FFFFFF" w:val="clear"/>
        </w:rPr>
        <w:t>Gmina Choceń posiada 11 lokali handlowych przy ulicy Targowej. Każdy z lokali jest o powierzchni 28 m2. Lokale przeznaczone są pod działalność gospodarczą. Trzy z lokali przeznaczone są do sprzedaży płodów rolnych.</w:t>
      </w:r>
    </w:p>
    <w:p>
      <w:pPr>
        <w:pStyle w:val="Standard"/>
        <w:spacing w:lineRule="auto" w:line="360"/>
        <w:rPr>
          <w:rFonts w:ascii="Times New Roman" w:hAnsi="Times New Roman" w:cs="Times New Roman"/>
          <w:sz w:val="22"/>
          <w:szCs w:val="22"/>
          <w:shd w:fill="FFFFFF" w:val="clear"/>
        </w:rPr>
      </w:pPr>
      <w:r>
        <w:rPr>
          <w:rFonts w:cs="Times New Roman" w:ascii="Times New Roman" w:hAnsi="Times New Roman"/>
          <w:sz w:val="22"/>
          <w:szCs w:val="22"/>
          <w:shd w:fill="FFFFFF" w:val="clear"/>
        </w:rPr>
      </w:r>
    </w:p>
    <w:p>
      <w:pPr>
        <w:pStyle w:val="Standard"/>
        <w:spacing w:lineRule="auto" w:line="360"/>
        <w:rPr>
          <w:rFonts w:ascii="Times New Roman" w:hAnsi="Times New Roman" w:cs="Times New Roman"/>
          <w:sz w:val="22"/>
          <w:szCs w:val="22"/>
          <w:shd w:fill="FFFFFF" w:val="clear"/>
        </w:rPr>
      </w:pPr>
      <w:r>
        <w:rPr>
          <w:rFonts w:cs="Times New Roman" w:ascii="Times New Roman" w:hAnsi="Times New Roman"/>
          <w:sz w:val="22"/>
          <w:szCs w:val="22"/>
          <w:shd w:fill="FFFFFF" w:val="clear"/>
        </w:rPr>
        <w:t>Gmina Choceń posiada również tereny inwestycyjne:</w:t>
      </w:r>
    </w:p>
    <w:p>
      <w:pPr>
        <w:pStyle w:val="Standard"/>
        <w:spacing w:lineRule="auto" w:line="360"/>
        <w:rPr>
          <w:rFonts w:ascii="Times New Roman" w:hAnsi="Times New Roman" w:cs="Times New Roman"/>
          <w:sz w:val="22"/>
          <w:szCs w:val="22"/>
          <w:shd w:fill="FFFFFF" w:val="clear"/>
        </w:rPr>
      </w:pPr>
      <w:r>
        <w:rPr>
          <w:rFonts w:cs="Times New Roman" w:ascii="Times New Roman" w:hAnsi="Times New Roman"/>
          <w:sz w:val="22"/>
          <w:szCs w:val="22"/>
          <w:shd w:fill="FFFFFF" w:val="clear"/>
        </w:rPr>
        <w:t>- Tereny przy Jeziorze Choceńskim  w miejscowości Jarantowice powierzchnia 2,9719 ( działka 17/1) 2,9719 ha właścicielem terenu jest gmina Choceń.</w:t>
      </w:r>
    </w:p>
    <w:p>
      <w:pPr>
        <w:pStyle w:val="Standard"/>
        <w:spacing w:lineRule="auto" w:line="360"/>
        <w:rPr>
          <w:rFonts w:ascii="Times New Roman" w:hAnsi="Times New Roman" w:cs="Times New Roman"/>
          <w:sz w:val="22"/>
          <w:szCs w:val="22"/>
          <w:shd w:fill="FFFFFF" w:val="clear"/>
        </w:rPr>
      </w:pPr>
      <w:r>
        <w:rPr>
          <w:rFonts w:cs="Times New Roman" w:ascii="Times New Roman" w:hAnsi="Times New Roman"/>
          <w:sz w:val="22"/>
          <w:szCs w:val="22"/>
          <w:shd w:fill="FFFFFF" w:val="clear"/>
        </w:rPr>
        <w:t>- Teren w miejscowości Jarantowice powierzchnia w jednym kawałku 71,03 ha (działka 831 - 66,34ha; działka 829- 4,69 ha) właścicielem jest Agencja Nieruchomości Rolnych Skarbu Państwa we władaniu OHZZ Chodeczek. Teren ten w 2012 roku uzyskał nagrodę PAIiIZ – „Grunt na medal”</w:t>
      </w:r>
    </w:p>
    <w:p>
      <w:pPr>
        <w:pStyle w:val="Standard"/>
        <w:spacing w:lineRule="auto" w:line="360"/>
        <w:rPr>
          <w:rFonts w:ascii="Times New Roman" w:hAnsi="Times New Roman" w:cs="Times New Roman"/>
          <w:sz w:val="22"/>
          <w:szCs w:val="22"/>
          <w:shd w:fill="FFFFFF" w:val="clear"/>
        </w:rPr>
      </w:pPr>
      <w:r>
        <w:rPr>
          <w:rFonts w:cs="Times New Roman" w:ascii="Times New Roman" w:hAnsi="Times New Roman"/>
          <w:sz w:val="22"/>
          <w:szCs w:val="22"/>
          <w:shd w:fill="FFFFFF" w:val="clear"/>
        </w:rPr>
        <w:t>- teren w miejscowości Jarantowice powierzchnia 34,35 ha (działka 825- 15,4ha; działka 827- 18,95ha) właścicielem jest Agencja Nieruchomości Rolnych Skarbu Państwa</w:t>
      </w:r>
    </w:p>
    <w:p>
      <w:pPr>
        <w:pStyle w:val="Standard"/>
        <w:spacing w:lineRule="auto" w:line="360"/>
        <w:rPr>
          <w:rFonts w:ascii="Times New Roman" w:hAnsi="Times New Roman" w:cs="Times New Roman"/>
          <w:sz w:val="22"/>
          <w:szCs w:val="22"/>
          <w:shd w:fill="FFFFFF" w:val="clear"/>
        </w:rPr>
      </w:pPr>
      <w:r>
        <w:rPr>
          <w:rFonts w:cs="Times New Roman" w:ascii="Times New Roman" w:hAnsi="Times New Roman"/>
          <w:sz w:val="22"/>
          <w:szCs w:val="22"/>
          <w:shd w:fill="FFFFFF" w:val="clear"/>
        </w:rPr>
        <w:t>- teren w miejscowości Borzymie powierzchnia 4,32ha (działka nr 7/1) + obiekt kubaturowy właściciel osoba prywatna</w:t>
      </w:r>
    </w:p>
    <w:p>
      <w:pPr>
        <w:pStyle w:val="Standard"/>
        <w:spacing w:lineRule="auto" w:line="360"/>
        <w:rPr>
          <w:rFonts w:ascii="Times New Roman" w:hAnsi="Times New Roman" w:cs="Times New Roman"/>
          <w:sz w:val="22"/>
          <w:szCs w:val="22"/>
          <w:shd w:fill="FFFFFF" w:val="clear"/>
        </w:rPr>
      </w:pPr>
      <w:r>
        <w:rPr>
          <w:rFonts w:cs="Times New Roman" w:ascii="Times New Roman" w:hAnsi="Times New Roman"/>
          <w:sz w:val="22"/>
          <w:szCs w:val="22"/>
          <w:shd w:fill="FFFFFF" w:val="clear"/>
        </w:rPr>
        <w:t>- teren w miejscowości Lutobórz powierzchnia 1,23 Działka 90/10 -0,8648ha; działka 90/11 -0.3630) z budynkiem właściciel osoba prywatna</w:t>
      </w:r>
    </w:p>
    <w:p>
      <w:pPr>
        <w:pStyle w:val="Standard"/>
        <w:spacing w:lineRule="auto" w:line="360"/>
        <w:rPr>
          <w:rFonts w:ascii="Times New Roman" w:hAnsi="Times New Roman" w:cs="Times New Roman"/>
          <w:sz w:val="22"/>
          <w:szCs w:val="22"/>
          <w:shd w:fill="FFFFFF" w:val="clear"/>
        </w:rPr>
      </w:pPr>
      <w:r>
        <w:rPr>
          <w:rFonts w:cs="Times New Roman" w:ascii="Times New Roman" w:hAnsi="Times New Roman"/>
          <w:sz w:val="22"/>
          <w:szCs w:val="22"/>
          <w:shd w:fill="FFFFFF" w:val="clear"/>
        </w:rPr>
        <w:t>- teren w miejscowości Choceń powierzchnia 3,6439ha ( działka nr 44/61- 0,8572ha; działka4506 – 1,0133; działka 45/64 – 0,1063) właścicielem jest osoba prywatna. Dla tego terenu jest plan zagospodarowania przestrzennego z przeznaczeniem pod działalność gospodarczą.</w:t>
      </w:r>
    </w:p>
    <w:p>
      <w:pPr>
        <w:pStyle w:val="Standard"/>
        <w:spacing w:lineRule="auto" w:line="360"/>
        <w:rPr>
          <w:rFonts w:ascii="Times New Roman" w:hAnsi="Times New Roman" w:cs="Times New Roman"/>
          <w:sz w:val="22"/>
          <w:szCs w:val="22"/>
          <w:shd w:fill="FFFFFF" w:val="clear"/>
        </w:rPr>
      </w:pPr>
      <w:r>
        <w:rPr>
          <w:rFonts w:cs="Times New Roman" w:ascii="Times New Roman" w:hAnsi="Times New Roman"/>
          <w:sz w:val="22"/>
          <w:szCs w:val="22"/>
          <w:shd w:fill="FFFFFF" w:val="clear"/>
        </w:rPr>
        <w:t>- teren w miejscowości Czerniewice  powierzchnia 1,67 (działka 71/2) właściciel osoba prywatna</w:t>
      </w:r>
    </w:p>
    <w:p>
      <w:pPr>
        <w:pStyle w:val="Standard"/>
        <w:spacing w:lineRule="auto" w:line="360"/>
        <w:rPr>
          <w:rFonts w:ascii="Times New Roman" w:hAnsi="Times New Roman" w:cs="Times New Roman"/>
          <w:sz w:val="22"/>
          <w:szCs w:val="22"/>
          <w:shd w:fill="FFFFFF" w:val="clear"/>
        </w:rPr>
      </w:pPr>
      <w:r>
        <w:rPr>
          <w:rFonts w:cs="Times New Roman" w:ascii="Times New Roman" w:hAnsi="Times New Roman"/>
          <w:sz w:val="22"/>
          <w:szCs w:val="22"/>
          <w:shd w:fill="FFFFFF" w:val="clear"/>
        </w:rPr>
        <w:t>- teren w miejscowości Czerniewice powierzchnia 7,63 h (działka 111- 3,59 ha właściciel Skarb Państwa, działka 128/1- 0,51ha bocznica kolejowa na 40 wagonów własność prywatna, działka 136/3- 2,91 właściciel Skaeb Państwa, działka 133/3 – 0,62 ha własność prywatna</w:t>
      </w:r>
      <w:bookmarkStart w:id="20" w:name="_Toc70257480"/>
    </w:p>
    <w:p>
      <w:pPr>
        <w:pStyle w:val="Nagwek2"/>
        <w:rPr>
          <w:rFonts w:ascii="Times New Roman" w:hAnsi="Times New Roman" w:cs="Times New Roman"/>
          <w:shd w:fill="FFFFFF" w:val="clear"/>
        </w:rPr>
      </w:pPr>
      <w:bookmarkStart w:id="21" w:name="_Toc85228965"/>
      <w:r>
        <w:rPr>
          <w:rFonts w:cs="Times New Roman" w:ascii="Times New Roman" w:hAnsi="Times New Roman"/>
          <w:shd w:fill="FFFFFF" w:val="clear"/>
        </w:rPr>
        <w:t>Pożądane kierunki rozwoju</w:t>
      </w:r>
      <w:bookmarkEnd w:id="21"/>
    </w:p>
    <w:p>
      <w:pPr>
        <w:pStyle w:val="Standard"/>
        <w:spacing w:lineRule="auto" w:line="360"/>
        <w:rPr>
          <w:rFonts w:ascii="Times New Roman" w:hAnsi="Times New Roman" w:cs="Times New Roman"/>
          <w:sz w:val="22"/>
          <w:szCs w:val="22"/>
          <w:shd w:fill="FFFFFF" w:val="clear"/>
        </w:rPr>
      </w:pPr>
      <w:r>
        <w:rPr>
          <w:rFonts w:cs="Times New Roman" w:ascii="Times New Roman" w:hAnsi="Times New Roman"/>
          <w:sz w:val="22"/>
          <w:szCs w:val="22"/>
          <w:shd w:fill="FFFFFF" w:val="clear"/>
        </w:rPr>
        <w:t>Pożądane kierunki rozwoju gminy (w oparciu o dane zebrane podczas badań fokusowych, do przedyskutowania z przedstawicielami grupy roboczej)</w:t>
      </w:r>
      <w:bookmarkEnd w:id="20"/>
    </w:p>
    <w:p>
      <w:pPr>
        <w:pStyle w:val="ListParagraph"/>
        <w:numPr>
          <w:ilvl w:val="0"/>
          <w:numId w:val="29"/>
        </w:numPr>
        <w:suppressAutoHyphens w:val="true"/>
        <w:spacing w:lineRule="auto" w:line="360" w:before="0" w:after="0"/>
        <w:contextualSpacing/>
        <w:jc w:val="both"/>
        <w:textAlignment w:val="baseline"/>
        <w:rPr>
          <w:sz w:val="22"/>
          <w:szCs w:val="22"/>
        </w:rPr>
      </w:pPr>
      <w:r>
        <w:rPr>
          <w:sz w:val="22"/>
          <w:szCs w:val="22"/>
        </w:rPr>
        <w:t>poszukiwanie potencjalnych inwestorów;</w:t>
      </w:r>
    </w:p>
    <w:p>
      <w:pPr>
        <w:pStyle w:val="ListParagraph"/>
        <w:numPr>
          <w:ilvl w:val="0"/>
          <w:numId w:val="94"/>
        </w:numPr>
        <w:suppressAutoHyphens w:val="true"/>
        <w:spacing w:lineRule="auto" w:line="360" w:before="0" w:after="0"/>
        <w:contextualSpacing/>
        <w:jc w:val="both"/>
        <w:textAlignment w:val="baseline"/>
        <w:rPr>
          <w:sz w:val="22"/>
          <w:szCs w:val="22"/>
        </w:rPr>
      </w:pPr>
      <w:r>
        <w:rPr>
          <w:sz w:val="22"/>
          <w:szCs w:val="22"/>
        </w:rPr>
        <w:t>dalsza budowa i rozbudowa dróg;</w:t>
      </w:r>
    </w:p>
    <w:p>
      <w:pPr>
        <w:pStyle w:val="ListParagraph"/>
        <w:numPr>
          <w:ilvl w:val="0"/>
          <w:numId w:val="95"/>
        </w:numPr>
        <w:suppressAutoHyphens w:val="true"/>
        <w:spacing w:lineRule="auto" w:line="360" w:before="0" w:after="0"/>
        <w:contextualSpacing/>
        <w:jc w:val="both"/>
        <w:textAlignment w:val="baseline"/>
        <w:rPr>
          <w:sz w:val="22"/>
          <w:szCs w:val="22"/>
        </w:rPr>
      </w:pPr>
      <w:r>
        <w:rPr>
          <w:sz w:val="22"/>
          <w:szCs w:val="22"/>
        </w:rPr>
        <w:t>zagospodarowanie jeziora, zagospodarowanie 3,5 ha gruntów nad jeziorem, budowa sali na organizowanie imprez, bazy noclegowej, infrastruktury rekreacyjnej – obecnie gmina  poszukuje inwestora</w:t>
      </w:r>
    </w:p>
    <w:p>
      <w:pPr>
        <w:pStyle w:val="ListParagraph"/>
        <w:numPr>
          <w:ilvl w:val="0"/>
          <w:numId w:val="30"/>
        </w:numPr>
        <w:suppressAutoHyphens w:val="true"/>
        <w:spacing w:lineRule="auto" w:line="360" w:before="0" w:after="0"/>
        <w:contextualSpacing/>
        <w:jc w:val="both"/>
        <w:textAlignment w:val="baseline"/>
        <w:rPr>
          <w:sz w:val="22"/>
          <w:szCs w:val="22"/>
        </w:rPr>
      </w:pPr>
      <w:r>
        <w:rPr>
          <w:sz w:val="22"/>
          <w:szCs w:val="22"/>
        </w:rPr>
        <w:t>stworzenie większej liczby miejsc pracy w celu zatrzymania mieszkańców; wspieranie i nakierowanie mieszkańców gminy na możliwość rozwoju własnej działalności, inwestowanie w miejsca pracy, „wyciągnięcie” ludzi z PGR-ów;</w:t>
      </w:r>
    </w:p>
    <w:p>
      <w:pPr>
        <w:pStyle w:val="ListParagraph"/>
        <w:numPr>
          <w:ilvl w:val="0"/>
          <w:numId w:val="96"/>
        </w:numPr>
        <w:suppressAutoHyphens w:val="true"/>
        <w:spacing w:lineRule="auto" w:line="360" w:before="0" w:after="0"/>
        <w:contextualSpacing/>
        <w:jc w:val="both"/>
        <w:textAlignment w:val="baseline"/>
        <w:rPr>
          <w:sz w:val="22"/>
          <w:szCs w:val="22"/>
        </w:rPr>
      </w:pPr>
      <w:r>
        <w:rPr>
          <w:sz w:val="22"/>
          <w:szCs w:val="22"/>
        </w:rPr>
        <w:t>zwiększenie napływu osób z zewnątrz do gminy  np. lepsza komunikacja między większymi ośrodkami;</w:t>
      </w:r>
    </w:p>
    <w:p>
      <w:pPr>
        <w:pStyle w:val="ListParagraph"/>
        <w:numPr>
          <w:ilvl w:val="0"/>
          <w:numId w:val="97"/>
        </w:numPr>
        <w:suppressAutoHyphens w:val="true"/>
        <w:spacing w:lineRule="auto" w:line="360" w:before="0" w:after="0"/>
        <w:contextualSpacing/>
        <w:jc w:val="both"/>
        <w:textAlignment w:val="baseline"/>
        <w:rPr>
          <w:sz w:val="22"/>
          <w:szCs w:val="22"/>
        </w:rPr>
      </w:pPr>
      <w:r>
        <w:rPr>
          <w:sz w:val="22"/>
          <w:szCs w:val="22"/>
        </w:rPr>
        <w:t>wykorzystanie dużych obiektów po zakładach mięsnych w Czerniewicach i Niemojewie w celu rozwoju przetwórstwa owocowo-warzywnego. Przyciągnięcie inwestorów z zewnątrz ponieważ ludność lokalna nie interesuje się tymi obiektami;</w:t>
      </w:r>
    </w:p>
    <w:p>
      <w:pPr>
        <w:pStyle w:val="ListParagraph"/>
        <w:numPr>
          <w:ilvl w:val="0"/>
          <w:numId w:val="98"/>
        </w:numPr>
        <w:suppressAutoHyphens w:val="true"/>
        <w:spacing w:lineRule="auto" w:line="360" w:before="0" w:after="0"/>
        <w:contextualSpacing/>
        <w:jc w:val="both"/>
        <w:textAlignment w:val="baseline"/>
        <w:rPr>
          <w:sz w:val="22"/>
          <w:szCs w:val="22"/>
        </w:rPr>
      </w:pPr>
      <w:r>
        <w:rPr>
          <w:sz w:val="22"/>
          <w:szCs w:val="22"/>
        </w:rPr>
        <w:t>otwarcie na nowe, innowacyjne formy działalności;</w:t>
      </w:r>
    </w:p>
    <w:p>
      <w:pPr>
        <w:pStyle w:val="ListParagraph"/>
        <w:numPr>
          <w:ilvl w:val="0"/>
          <w:numId w:val="99"/>
        </w:numPr>
        <w:suppressAutoHyphens w:val="true"/>
        <w:spacing w:lineRule="auto" w:line="360" w:before="0" w:after="0"/>
        <w:contextualSpacing/>
        <w:jc w:val="both"/>
        <w:textAlignment w:val="baseline"/>
        <w:rPr>
          <w:sz w:val="22"/>
          <w:szCs w:val="22"/>
        </w:rPr>
      </w:pPr>
      <w:r>
        <w:rPr>
          <w:sz w:val="22"/>
          <w:szCs w:val="22"/>
        </w:rPr>
        <w:t>modernizacja oczyszczalni ścieków;</w:t>
      </w:r>
    </w:p>
    <w:p>
      <w:pPr>
        <w:pStyle w:val="ListParagraph"/>
        <w:numPr>
          <w:ilvl w:val="0"/>
          <w:numId w:val="100"/>
        </w:numPr>
        <w:suppressAutoHyphens w:val="true"/>
        <w:spacing w:lineRule="auto" w:line="360" w:before="0" w:after="0"/>
        <w:contextualSpacing/>
        <w:jc w:val="both"/>
        <w:textAlignment w:val="baseline"/>
        <w:rPr>
          <w:sz w:val="22"/>
          <w:szCs w:val="22"/>
        </w:rPr>
      </w:pPr>
      <w:r>
        <w:rPr>
          <w:sz w:val="22"/>
          <w:szCs w:val="22"/>
        </w:rPr>
        <w:t>zaktywizowanie mieszkańców, zmiana mentalności.</w:t>
      </w:r>
    </w:p>
    <w:p>
      <w:pPr>
        <w:pStyle w:val="Standard"/>
        <w:spacing w:lineRule="auto" w:line="360"/>
        <w:jc w:val="both"/>
        <w:rPr>
          <w:rFonts w:ascii="Times New Roman" w:hAnsi="Times New Roman" w:cs="Times New Roman"/>
          <w:sz w:val="22"/>
          <w:szCs w:val="22"/>
        </w:rPr>
      </w:pPr>
      <w:r>
        <w:rPr>
          <w:rFonts w:cs="Times New Roman" w:ascii="Times New Roman" w:hAnsi="Times New Roman"/>
          <w:sz w:val="22"/>
          <w:szCs w:val="22"/>
        </w:rPr>
        <w:t>- zaadoptowanie obiektu po starej plebani na cele kulturalno -społeczne</w:t>
      </w:r>
    </w:p>
    <w:p>
      <w:pPr>
        <w:pStyle w:val="Standard"/>
        <w:spacing w:lineRule="auto" w:line="360"/>
        <w:jc w:val="both"/>
        <w:rPr>
          <w:rFonts w:ascii="Times New Roman" w:hAnsi="Times New Roman" w:cs="Times New Roman"/>
          <w:sz w:val="22"/>
          <w:szCs w:val="22"/>
          <w:shd w:fill="FFFFFF" w:val="clear"/>
        </w:rPr>
      </w:pPr>
      <w:r>
        <w:rPr>
          <w:rFonts w:cs="Times New Roman" w:ascii="Times New Roman" w:hAnsi="Times New Roman"/>
          <w:sz w:val="22"/>
          <w:szCs w:val="22"/>
          <w:shd w:fill="FFFFFF" w:val="clear"/>
        </w:rPr>
      </w:r>
    </w:p>
    <w:p>
      <w:pPr>
        <w:pStyle w:val="Nagwek2"/>
        <w:rPr>
          <w:rFonts w:ascii="Times New Roman" w:hAnsi="Times New Roman" w:cs="Times New Roman"/>
          <w:shd w:fill="FFFFFF" w:val="clear"/>
        </w:rPr>
      </w:pPr>
      <w:bookmarkStart w:id="22" w:name="_Toc85228966"/>
      <w:bookmarkStart w:id="23" w:name="_Toc70257482"/>
      <w:r>
        <w:rPr>
          <w:rFonts w:cs="Times New Roman" w:ascii="Times New Roman" w:hAnsi="Times New Roman"/>
          <w:shd w:fill="FFFFFF" w:val="clear"/>
        </w:rPr>
        <w:t>Przynależność gminy do organizacji i stowarzyszeń</w:t>
      </w:r>
      <w:bookmarkEnd w:id="22"/>
      <w:bookmarkEnd w:id="23"/>
    </w:p>
    <w:p>
      <w:pPr>
        <w:pStyle w:val="Standard"/>
        <w:spacing w:lineRule="auto" w:line="360"/>
        <w:jc w:val="both"/>
        <w:rPr>
          <w:rFonts w:ascii="Times New Roman" w:hAnsi="Times New Roman" w:cs="Times New Roman"/>
          <w:sz w:val="22"/>
          <w:szCs w:val="22"/>
          <w:shd w:fill="FFFFFF" w:val="clear"/>
        </w:rPr>
      </w:pPr>
      <w:r>
        <w:rPr>
          <w:rFonts w:cs="Times New Roman" w:ascii="Times New Roman" w:hAnsi="Times New Roman"/>
          <w:sz w:val="22"/>
          <w:szCs w:val="22"/>
          <w:shd w:fill="FFFFFF" w:val="clear"/>
        </w:rPr>
      </w:r>
    </w:p>
    <w:p>
      <w:pPr>
        <w:pStyle w:val="Standard"/>
        <w:spacing w:lineRule="auto" w:line="360"/>
        <w:jc w:val="both"/>
        <w:rPr>
          <w:rFonts w:ascii="Times New Roman" w:hAnsi="Times New Roman" w:cs="Times New Roman"/>
          <w:sz w:val="22"/>
          <w:szCs w:val="22"/>
        </w:rPr>
      </w:pPr>
      <w:r>
        <w:rPr>
          <w:rFonts w:cs="Times New Roman" w:ascii="Times New Roman" w:hAnsi="Times New Roman"/>
          <w:sz w:val="22"/>
          <w:szCs w:val="22"/>
        </w:rPr>
        <w:t>W gminie Choceń działają następujące organizacje pozarządowe:</w:t>
      </w:r>
    </w:p>
    <w:p>
      <w:pPr>
        <w:pStyle w:val="ListParagraph"/>
        <w:numPr>
          <w:ilvl w:val="0"/>
          <w:numId w:val="31"/>
        </w:numPr>
        <w:suppressAutoHyphens w:val="true"/>
        <w:spacing w:lineRule="auto" w:line="360" w:before="0" w:after="0"/>
        <w:contextualSpacing/>
        <w:jc w:val="both"/>
        <w:textAlignment w:val="baseline"/>
        <w:rPr>
          <w:sz w:val="22"/>
          <w:szCs w:val="22"/>
        </w:rPr>
      </w:pPr>
      <w:r>
        <w:rPr>
          <w:sz w:val="22"/>
          <w:szCs w:val="22"/>
        </w:rPr>
        <w:t>Stowarzyszenie Lokalna Grupa Działania Dorzecza Zgłowiączki</w:t>
      </w:r>
    </w:p>
    <w:p>
      <w:pPr>
        <w:pStyle w:val="ListParagraph"/>
        <w:numPr>
          <w:ilvl w:val="0"/>
          <w:numId w:val="101"/>
        </w:numPr>
        <w:suppressAutoHyphens w:val="true"/>
        <w:spacing w:lineRule="auto" w:line="360" w:before="0" w:after="0"/>
        <w:contextualSpacing/>
        <w:jc w:val="both"/>
        <w:textAlignment w:val="baseline"/>
        <w:rPr>
          <w:sz w:val="22"/>
          <w:szCs w:val="22"/>
        </w:rPr>
      </w:pPr>
      <w:r>
        <w:rPr>
          <w:sz w:val="22"/>
          <w:szCs w:val="22"/>
        </w:rPr>
        <w:t>Towarzystwo Kultury, Edukacji i Promocji gminy Choceń</w:t>
      </w:r>
    </w:p>
    <w:p>
      <w:pPr>
        <w:pStyle w:val="ListParagraph"/>
        <w:numPr>
          <w:ilvl w:val="0"/>
          <w:numId w:val="102"/>
        </w:numPr>
        <w:suppressAutoHyphens w:val="true"/>
        <w:spacing w:lineRule="auto" w:line="360" w:before="0" w:after="0"/>
        <w:contextualSpacing/>
        <w:jc w:val="both"/>
        <w:textAlignment w:val="baseline"/>
        <w:rPr>
          <w:sz w:val="22"/>
          <w:szCs w:val="22"/>
        </w:rPr>
      </w:pPr>
      <w:r>
        <w:rPr>
          <w:sz w:val="22"/>
          <w:szCs w:val="22"/>
        </w:rPr>
        <w:t>Stowarzyszenie Dla Rozwoju Gminy Choceń</w:t>
      </w:r>
    </w:p>
    <w:p>
      <w:pPr>
        <w:pStyle w:val="ListParagraph"/>
        <w:numPr>
          <w:ilvl w:val="0"/>
          <w:numId w:val="103"/>
        </w:numPr>
        <w:suppressAutoHyphens w:val="true"/>
        <w:spacing w:lineRule="auto" w:line="360" w:before="0" w:after="0"/>
        <w:contextualSpacing/>
        <w:jc w:val="both"/>
        <w:textAlignment w:val="baseline"/>
        <w:rPr>
          <w:sz w:val="22"/>
          <w:szCs w:val="22"/>
        </w:rPr>
      </w:pPr>
      <w:r>
        <w:rPr>
          <w:sz w:val="22"/>
          <w:szCs w:val="22"/>
        </w:rPr>
        <w:t>Choceńska Socjalna Spółdzielnia Budowlana w Choceniu</w:t>
      </w:r>
    </w:p>
    <w:p>
      <w:pPr>
        <w:pStyle w:val="ListParagraph"/>
        <w:numPr>
          <w:ilvl w:val="0"/>
          <w:numId w:val="104"/>
        </w:numPr>
        <w:suppressAutoHyphens w:val="true"/>
        <w:spacing w:lineRule="auto" w:line="360" w:before="0" w:after="0"/>
        <w:contextualSpacing/>
        <w:jc w:val="both"/>
        <w:textAlignment w:val="baseline"/>
        <w:rPr>
          <w:sz w:val="22"/>
          <w:szCs w:val="22"/>
        </w:rPr>
      </w:pPr>
      <w:r>
        <w:rPr>
          <w:sz w:val="22"/>
          <w:szCs w:val="22"/>
        </w:rPr>
        <w:t>Związek Kombatantów Rzeczypospolitej Polskiej i Byłych Więźniów Politycznych Zarząd Gminny w Choceniu,</w:t>
      </w:r>
    </w:p>
    <w:p>
      <w:pPr>
        <w:pStyle w:val="Standard"/>
        <w:spacing w:lineRule="auto" w:line="360"/>
        <w:jc w:val="both"/>
        <w:rPr>
          <w:rFonts w:ascii="Times New Roman" w:hAnsi="Times New Roman" w:cs="Times New Roman"/>
          <w:sz w:val="22"/>
          <w:szCs w:val="22"/>
        </w:rPr>
      </w:pPr>
      <w:r>
        <w:rPr>
          <w:rFonts w:cs="Times New Roman" w:ascii="Times New Roman" w:hAnsi="Times New Roman"/>
          <w:sz w:val="22"/>
          <w:szCs w:val="22"/>
        </w:rPr>
      </w:r>
    </w:p>
    <w:p>
      <w:pPr>
        <w:pStyle w:val="Standard"/>
        <w:spacing w:lineRule="auto" w:line="360"/>
        <w:jc w:val="both"/>
        <w:rPr>
          <w:rFonts w:ascii="Times New Roman" w:hAnsi="Times New Roman" w:cs="Times New Roman"/>
          <w:sz w:val="22"/>
          <w:szCs w:val="22"/>
        </w:rPr>
      </w:pPr>
      <w:r>
        <w:rPr>
          <w:rFonts w:cs="Times New Roman" w:ascii="Times New Roman" w:hAnsi="Times New Roman"/>
          <w:sz w:val="22"/>
          <w:szCs w:val="22"/>
        </w:rPr>
        <w:t>Pod względem gospodarczym gminy wiejskie województwa kujawsko-pomorskiego, jak i powiatu włocławskiego ziemskiego cechuje produkcja rolna oraz indywidualna i publiczna działalność gospodarcza.</w:t>
      </w:r>
    </w:p>
    <w:p>
      <w:pPr>
        <w:pStyle w:val="Nagwek2"/>
        <w:rPr>
          <w:rFonts w:ascii="Times New Roman" w:hAnsi="Times New Roman" w:cs="Times New Roman"/>
          <w:sz w:val="22"/>
          <w:szCs w:val="22"/>
        </w:rPr>
      </w:pPr>
      <w:bookmarkStart w:id="24" w:name="_Toc85228967"/>
      <w:bookmarkStart w:id="25" w:name="_Toc70257484"/>
      <w:r>
        <w:rPr>
          <w:rFonts w:cs="Times New Roman" w:ascii="Times New Roman" w:hAnsi="Times New Roman"/>
          <w:sz w:val="22"/>
          <w:szCs w:val="22"/>
        </w:rPr>
        <w:t>Gmina na tle województwa</w:t>
      </w:r>
      <w:bookmarkEnd w:id="24"/>
      <w:bookmarkEnd w:id="25"/>
    </w:p>
    <w:p>
      <w:pPr>
        <w:pStyle w:val="Normal"/>
        <w:rPr>
          <w:rFonts w:ascii="Times New Roman" w:hAnsi="Times New Roman" w:cs="Times New Roman"/>
        </w:rPr>
      </w:pPr>
      <w:r>
        <w:rPr>
          <w:rFonts w:cs="Times New Roman" w:ascii="Times New Roman" w:hAnsi="Times New Roman"/>
        </w:rPr>
        <w:t xml:space="preserve">Tabela 5. Podstawowe wskaźniki finansowe gminy na tle województwa i grupy podobnych gmin (2018)  </w:t>
      </w:r>
    </w:p>
    <w:p>
      <w:pPr>
        <w:pStyle w:val="Standard"/>
        <w:spacing w:lineRule="auto" w:line="360"/>
        <w:jc w:val="center"/>
        <w:rPr>
          <w:rFonts w:ascii="Times New Roman" w:hAnsi="Times New Roman" w:cs="Times New Roman"/>
          <w:sz w:val="22"/>
          <w:szCs w:val="22"/>
        </w:rPr>
      </w:pPr>
      <w:r>
        <w:rPr/>
        <w:drawing>
          <wp:inline distT="0" distB="0" distL="0" distR="0">
            <wp:extent cx="5733415" cy="2004060"/>
            <wp:effectExtent l="0" t="0" r="0" b="0"/>
            <wp:docPr id="9" name="Obraz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12" descr=""/>
                    <pic:cNvPicPr>
                      <a:picLocks noChangeAspect="1" noChangeArrowheads="1"/>
                    </pic:cNvPicPr>
                  </pic:nvPicPr>
                  <pic:blipFill>
                    <a:blip r:embed="rId10"/>
                    <a:stretch>
                      <a:fillRect/>
                    </a:stretch>
                  </pic:blipFill>
                  <pic:spPr bwMode="auto">
                    <a:xfrm>
                      <a:off x="0" y="0"/>
                      <a:ext cx="5733415" cy="2004060"/>
                    </a:xfrm>
                    <a:prstGeom prst="rect">
                      <a:avLst/>
                    </a:prstGeom>
                  </pic:spPr>
                </pic:pic>
              </a:graphicData>
            </a:graphic>
          </wp:inline>
        </w:drawing>
      </w:r>
    </w:p>
    <w:p>
      <w:pPr>
        <w:pStyle w:val="Standard"/>
        <w:spacing w:lineRule="auto" w:line="360"/>
        <w:jc w:val="both"/>
        <w:rPr>
          <w:rFonts w:ascii="Times New Roman" w:hAnsi="Times New Roman" w:eastAsia="Calibri" w:cs="Times New Roman"/>
          <w:sz w:val="22"/>
          <w:szCs w:val="22"/>
        </w:rPr>
      </w:pPr>
      <w:r>
        <w:rPr>
          <w:rFonts w:eastAsia="Calibri" w:cs="Times New Roman" w:ascii="Times New Roman" w:hAnsi="Times New Roman"/>
          <w:sz w:val="22"/>
          <w:szCs w:val="22"/>
        </w:rPr>
        <w:t>Źródło: Obliczenia SGH na podstawie danych GUS.</w:t>
      </w:r>
    </w:p>
    <w:p>
      <w:pPr>
        <w:pStyle w:val="Normal"/>
        <w:rPr>
          <w:rFonts w:ascii="Times New Roman" w:hAnsi="Times New Roman" w:cs="Times New Roman"/>
        </w:rPr>
      </w:pPr>
      <w:bookmarkStart w:id="26" w:name="_Toc70257485"/>
      <w:r>
        <w:rPr>
          <w:rFonts w:cs="Times New Roman" w:ascii="Times New Roman" w:hAnsi="Times New Roman"/>
        </w:rPr>
        <w:t>Sektor małych i średnich przedsiębiorstw w gminie</w:t>
      </w:r>
      <w:bookmarkEnd w:id="26"/>
    </w:p>
    <w:p>
      <w:pPr>
        <w:pStyle w:val="Standard"/>
        <w:spacing w:lineRule="auto" w:line="360"/>
        <w:jc w:val="both"/>
        <w:rPr>
          <w:rFonts w:ascii="Times New Roman" w:hAnsi="Times New Roman" w:cs="Times New Roman"/>
          <w:sz w:val="22"/>
          <w:szCs w:val="22"/>
        </w:rPr>
      </w:pPr>
      <w:r>
        <w:rPr>
          <w:rFonts w:cs="Times New Roman" w:ascii="Times New Roman" w:hAnsi="Times New Roman"/>
          <w:sz w:val="22"/>
          <w:szCs w:val="22"/>
        </w:rPr>
      </w:r>
    </w:p>
    <w:p>
      <w:pPr>
        <w:pStyle w:val="Standard"/>
        <w:spacing w:lineRule="auto" w:line="360"/>
        <w:ind w:firstLine="720"/>
        <w:jc w:val="both"/>
        <w:rPr>
          <w:rFonts w:ascii="Times New Roman" w:hAnsi="Times New Roman" w:cs="Times New Roman"/>
          <w:sz w:val="22"/>
          <w:szCs w:val="22"/>
        </w:rPr>
      </w:pPr>
      <w:r>
        <w:rPr>
          <w:rFonts w:cs="Times New Roman" w:ascii="Times New Roman" w:hAnsi="Times New Roman"/>
          <w:sz w:val="22"/>
          <w:szCs w:val="22"/>
        </w:rPr>
        <w:t>W 2018 r. w gminie zarejestrowanych było 490 przedsiębiorstw zgodnie z bazą danych REGON. W grudniu 2018 r. w gminie było 231 płatników składek ZUS oraz 314 podatników osiągających przychody z tytułu prowadzonej działalności gospodarczej. Liczbę przedsiębiorstw – podatników i płatników składek przedstawia tabela poniżej.</w:t>
      </w:r>
    </w:p>
    <w:p>
      <w:pPr>
        <w:pStyle w:val="Standard"/>
        <w:spacing w:lineRule="auto" w:line="360"/>
        <w:jc w:val="both"/>
        <w:rPr>
          <w:rFonts w:ascii="Times New Roman" w:hAnsi="Times New Roman" w:cs="Times New Roman"/>
          <w:sz w:val="22"/>
          <w:szCs w:val="22"/>
        </w:rPr>
      </w:pPr>
      <w:r>
        <w:rPr>
          <w:rFonts w:cs="Times New Roman" w:ascii="Times New Roman" w:hAnsi="Times New Roman"/>
          <w:sz w:val="22"/>
          <w:szCs w:val="22"/>
        </w:rPr>
      </w:r>
    </w:p>
    <w:p>
      <w:pPr>
        <w:pStyle w:val="Caption"/>
        <w:spacing w:lineRule="auto" w:line="360" w:before="0" w:after="0"/>
        <w:rPr>
          <w:rFonts w:ascii="Times New Roman" w:hAnsi="Times New Roman" w:cs="Times New Roman"/>
          <w:color w:val="auto"/>
        </w:rPr>
      </w:pPr>
      <w:r>
        <w:rPr>
          <w:rFonts w:cs="Times New Roman" w:ascii="Times New Roman" w:hAnsi="Times New Roman"/>
          <w:color w:val="auto"/>
        </w:rPr>
        <w:t>Tabela 6. Liczba przedsiębiorstw według rodzaju rejestru (2018)</w:t>
      </w:r>
    </w:p>
    <w:p>
      <w:pPr>
        <w:pStyle w:val="Standard"/>
        <w:spacing w:lineRule="auto" w:line="360"/>
        <w:jc w:val="center"/>
        <w:rPr>
          <w:rFonts w:ascii="Times New Roman" w:hAnsi="Times New Roman" w:cs="Times New Roman"/>
          <w:sz w:val="22"/>
          <w:szCs w:val="22"/>
        </w:rPr>
      </w:pPr>
      <w:r>
        <w:rPr/>
        <w:drawing>
          <wp:inline distT="0" distB="0" distL="0" distR="0">
            <wp:extent cx="5733415" cy="1456690"/>
            <wp:effectExtent l="0" t="0" r="0" b="0"/>
            <wp:docPr id="10" name="Obraz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3" descr=""/>
                    <pic:cNvPicPr>
                      <a:picLocks noChangeAspect="1" noChangeArrowheads="1"/>
                    </pic:cNvPicPr>
                  </pic:nvPicPr>
                  <pic:blipFill>
                    <a:blip r:embed="rId11"/>
                    <a:stretch>
                      <a:fillRect/>
                    </a:stretch>
                  </pic:blipFill>
                  <pic:spPr bwMode="auto">
                    <a:xfrm>
                      <a:off x="0" y="0"/>
                      <a:ext cx="5733415" cy="1456690"/>
                    </a:xfrm>
                    <a:prstGeom prst="rect">
                      <a:avLst/>
                    </a:prstGeom>
                  </pic:spPr>
                </pic:pic>
              </a:graphicData>
            </a:graphic>
          </wp:inline>
        </w:drawing>
      </w:r>
    </w:p>
    <w:p>
      <w:pPr>
        <w:pStyle w:val="Standard"/>
        <w:spacing w:lineRule="auto" w:line="360"/>
        <w:jc w:val="both"/>
        <w:rPr>
          <w:rFonts w:ascii="Times New Roman" w:hAnsi="Times New Roman" w:eastAsia="Calibri" w:cs="Times New Roman"/>
          <w:sz w:val="22"/>
          <w:szCs w:val="22"/>
        </w:rPr>
      </w:pPr>
      <w:r>
        <w:rPr>
          <w:rFonts w:eastAsia="Calibri" w:cs="Times New Roman" w:ascii="Times New Roman" w:hAnsi="Times New Roman"/>
          <w:sz w:val="22"/>
          <w:szCs w:val="22"/>
        </w:rPr>
        <w:t>Źródło: GUS.</w:t>
      </w:r>
    </w:p>
    <w:p>
      <w:pPr>
        <w:pStyle w:val="Nagwek3"/>
        <w:spacing w:lineRule="auto" w:line="360" w:before="0" w:after="0"/>
        <w:rPr>
          <w:rFonts w:ascii="Times New Roman" w:hAnsi="Times New Roman" w:cs="Times New Roman"/>
          <w:color w:val="auto"/>
          <w:sz w:val="22"/>
          <w:szCs w:val="22"/>
        </w:rPr>
      </w:pPr>
      <w:r>
        <w:rPr>
          <w:rFonts w:cs="Times New Roman" w:ascii="Times New Roman" w:hAnsi="Times New Roman"/>
          <w:color w:val="auto"/>
          <w:sz w:val="22"/>
          <w:szCs w:val="22"/>
        </w:rPr>
      </w:r>
    </w:p>
    <w:p>
      <w:pPr>
        <w:pStyle w:val="Normal"/>
        <w:rPr>
          <w:rFonts w:ascii="Times New Roman" w:hAnsi="Times New Roman" w:cs="Times New Roman"/>
        </w:rPr>
      </w:pPr>
      <w:bookmarkStart w:id="27" w:name="_Toc70257486"/>
      <w:r>
        <w:rPr>
          <w:rFonts w:cs="Times New Roman" w:ascii="Times New Roman" w:hAnsi="Times New Roman"/>
        </w:rPr>
        <w:t>Płatnicy składek oraz osoby ubezpieczone w gminie</w:t>
      </w:r>
      <w:bookmarkEnd w:id="27"/>
    </w:p>
    <w:p>
      <w:pPr>
        <w:pStyle w:val="Standard"/>
        <w:spacing w:lineRule="auto" w:line="360"/>
        <w:jc w:val="both"/>
        <w:rPr>
          <w:rFonts w:ascii="Times New Roman" w:hAnsi="Times New Roman" w:cs="Times New Roman"/>
          <w:sz w:val="22"/>
          <w:szCs w:val="22"/>
        </w:rPr>
      </w:pPr>
      <w:r>
        <w:rPr>
          <w:rFonts w:cs="Times New Roman" w:ascii="Times New Roman" w:hAnsi="Times New Roman"/>
          <w:sz w:val="22"/>
          <w:szCs w:val="22"/>
        </w:rPr>
      </w:r>
    </w:p>
    <w:p>
      <w:pPr>
        <w:pStyle w:val="Standard"/>
        <w:spacing w:lineRule="auto" w:line="360"/>
        <w:ind w:firstLine="720"/>
        <w:jc w:val="both"/>
        <w:rPr>
          <w:rFonts w:ascii="Times New Roman" w:hAnsi="Times New Roman" w:cs="Times New Roman"/>
          <w:sz w:val="22"/>
          <w:szCs w:val="22"/>
        </w:rPr>
      </w:pPr>
      <w:r>
        <w:rPr>
          <w:rFonts w:cs="Times New Roman" w:ascii="Times New Roman" w:hAnsi="Times New Roman"/>
          <w:sz w:val="22"/>
          <w:szCs w:val="22"/>
        </w:rPr>
        <w:t>Informacja o płatnikach składek w przedsiębiorstwach mikro, małych i średnich (tj. płacących składki za od 1 do 249 osób ubezpieczonych) według wybranych sekcji PKD przedstawia tabela 7.</w:t>
      </w:r>
    </w:p>
    <w:p>
      <w:pPr>
        <w:pStyle w:val="Caption"/>
        <w:spacing w:lineRule="auto" w:line="360" w:before="0" w:after="0"/>
        <w:rPr>
          <w:rFonts w:ascii="Times New Roman" w:hAnsi="Times New Roman" w:cs="Times New Roman"/>
          <w:color w:val="auto"/>
        </w:rPr>
      </w:pPr>
      <w:r>
        <w:rPr>
          <w:rFonts w:cs="Times New Roman" w:ascii="Times New Roman" w:hAnsi="Times New Roman"/>
          <w:color w:val="auto"/>
        </w:rPr>
        <w:t>Tabela 7. Liczba płatników składek według sekcji PKD (2018)</w:t>
      </w:r>
    </w:p>
    <w:p>
      <w:pPr>
        <w:pStyle w:val="Standard"/>
        <w:spacing w:lineRule="auto" w:line="360"/>
        <w:jc w:val="center"/>
        <w:rPr>
          <w:rFonts w:ascii="Times New Roman" w:hAnsi="Times New Roman" w:cs="Times New Roman"/>
          <w:sz w:val="22"/>
          <w:szCs w:val="22"/>
        </w:rPr>
      </w:pPr>
      <w:r>
        <w:rPr/>
        <w:drawing>
          <wp:inline distT="0" distB="0" distL="0" distR="0">
            <wp:extent cx="5733415" cy="4573905"/>
            <wp:effectExtent l="0" t="0" r="0" b="0"/>
            <wp:docPr id="11" name="Obraz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4" descr=""/>
                    <pic:cNvPicPr>
                      <a:picLocks noChangeAspect="1" noChangeArrowheads="1"/>
                    </pic:cNvPicPr>
                  </pic:nvPicPr>
                  <pic:blipFill>
                    <a:blip r:embed="rId12"/>
                    <a:stretch>
                      <a:fillRect/>
                    </a:stretch>
                  </pic:blipFill>
                  <pic:spPr bwMode="auto">
                    <a:xfrm>
                      <a:off x="0" y="0"/>
                      <a:ext cx="5733415" cy="4573905"/>
                    </a:xfrm>
                    <a:prstGeom prst="rect">
                      <a:avLst/>
                    </a:prstGeom>
                  </pic:spPr>
                </pic:pic>
              </a:graphicData>
            </a:graphic>
          </wp:inline>
        </w:drawing>
      </w:r>
    </w:p>
    <w:p>
      <w:pPr>
        <w:pStyle w:val="Standard"/>
        <w:spacing w:lineRule="auto" w:line="360"/>
        <w:jc w:val="both"/>
        <w:rPr>
          <w:rFonts w:ascii="Times New Roman" w:hAnsi="Times New Roman" w:eastAsia="Calibri" w:cs="Times New Roman"/>
          <w:sz w:val="22"/>
          <w:szCs w:val="22"/>
        </w:rPr>
      </w:pPr>
      <w:r>
        <w:rPr>
          <w:rFonts w:eastAsia="Calibri" w:cs="Times New Roman" w:ascii="Times New Roman" w:hAnsi="Times New Roman"/>
          <w:sz w:val="22"/>
          <w:szCs w:val="22"/>
        </w:rPr>
        <w:t>Źródło: Obliczenia SGH na podstawie danych GUS.</w:t>
      </w:r>
    </w:p>
    <w:p>
      <w:pPr>
        <w:pStyle w:val="Standard"/>
        <w:spacing w:lineRule="auto" w:line="360"/>
        <w:jc w:val="both"/>
        <w:rPr>
          <w:rFonts w:ascii="Times New Roman" w:hAnsi="Times New Roman" w:eastAsia="Calibri" w:cs="Times New Roman"/>
          <w:sz w:val="22"/>
          <w:szCs w:val="22"/>
        </w:rPr>
      </w:pPr>
      <w:r>
        <w:rPr>
          <w:rFonts w:eastAsia="Calibri" w:cs="Times New Roman" w:ascii="Times New Roman" w:hAnsi="Times New Roman"/>
          <w:sz w:val="22"/>
          <w:szCs w:val="22"/>
        </w:rPr>
      </w:r>
    </w:p>
    <w:p>
      <w:pPr>
        <w:pStyle w:val="Standard"/>
        <w:spacing w:lineRule="auto" w:line="360"/>
        <w:ind w:firstLine="720"/>
        <w:jc w:val="both"/>
        <w:rPr>
          <w:rFonts w:ascii="Times New Roman" w:hAnsi="Times New Roman" w:eastAsia="Calibri" w:cs="Times New Roman"/>
          <w:sz w:val="22"/>
          <w:szCs w:val="22"/>
        </w:rPr>
      </w:pPr>
      <w:r>
        <w:rPr>
          <w:rFonts w:eastAsia="Calibri" w:cs="Times New Roman" w:ascii="Times New Roman" w:hAnsi="Times New Roman"/>
          <w:sz w:val="22"/>
          <w:szCs w:val="22"/>
        </w:rPr>
        <w:t>Wśród płatników składek, którzy opłacali składki za nie więcej niż 250 osób było łącznie 1381 osób ubezpieczonych w ZUS, co stanowiło 27,5% osób w wieku produkcyjnym w gminie, w tym:</w:t>
      </w:r>
    </w:p>
    <w:p>
      <w:pPr>
        <w:pStyle w:val="ListParagraph"/>
        <w:numPr>
          <w:ilvl w:val="0"/>
          <w:numId w:val="32"/>
        </w:numPr>
        <w:suppressAutoHyphens w:val="true"/>
        <w:spacing w:lineRule="auto" w:line="360" w:before="0" w:after="0"/>
        <w:contextualSpacing/>
        <w:jc w:val="both"/>
        <w:textAlignment w:val="baseline"/>
        <w:rPr>
          <w:rFonts w:eastAsia="Calibri"/>
          <w:sz w:val="22"/>
          <w:szCs w:val="22"/>
        </w:rPr>
      </w:pPr>
      <w:r>
        <w:rPr>
          <w:rFonts w:eastAsia="Calibri"/>
          <w:sz w:val="22"/>
          <w:szCs w:val="22"/>
        </w:rPr>
        <w:t>W usługach ubezpieczonych było 848 osób, to jest 16,9% osób w wieku produkcyjnym w gminie,</w:t>
      </w:r>
    </w:p>
    <w:p>
      <w:pPr>
        <w:pStyle w:val="ListParagraph"/>
        <w:numPr>
          <w:ilvl w:val="0"/>
          <w:numId w:val="105"/>
        </w:numPr>
        <w:suppressAutoHyphens w:val="true"/>
        <w:spacing w:lineRule="auto" w:line="360" w:before="0" w:after="0"/>
        <w:contextualSpacing/>
        <w:jc w:val="both"/>
        <w:textAlignment w:val="baseline"/>
        <w:rPr>
          <w:rFonts w:eastAsia="Calibri"/>
          <w:sz w:val="22"/>
          <w:szCs w:val="22"/>
        </w:rPr>
      </w:pPr>
      <w:r>
        <w:rPr>
          <w:rFonts w:eastAsia="Calibri"/>
          <w:sz w:val="22"/>
          <w:szCs w:val="22"/>
        </w:rPr>
        <w:t>W przemyśle ubezpieczonych było 590 osób, to jest 11,7% osób w wieku produkcyjnym w gminie,</w:t>
      </w:r>
    </w:p>
    <w:p>
      <w:pPr>
        <w:pStyle w:val="ListParagraph"/>
        <w:numPr>
          <w:ilvl w:val="0"/>
          <w:numId w:val="106"/>
        </w:numPr>
        <w:suppressAutoHyphens w:val="true"/>
        <w:spacing w:lineRule="auto" w:line="360" w:before="0" w:after="0"/>
        <w:contextualSpacing/>
        <w:jc w:val="both"/>
        <w:textAlignment w:val="baseline"/>
        <w:rPr>
          <w:sz w:val="22"/>
          <w:szCs w:val="22"/>
        </w:rPr>
      </w:pPr>
      <w:r>
        <w:rPr>
          <w:rFonts w:eastAsia="Calibri"/>
          <w:sz w:val="22"/>
          <w:szCs w:val="22"/>
        </w:rPr>
        <w:t>W sekcjach zdominowanych przez podmioty publiczne było ubezpieczonych łącznie 371 osób, w tym 176 osób w administracji, 99 osób w sektorze opieki zdrowotnej 77 osób w sektorze edukacji oraz 19 osób w sektorze kultury, było to łącznie 7,4% osób w wieku produkcyjnym w gminie,</w:t>
      </w:r>
    </w:p>
    <w:p>
      <w:pPr>
        <w:pStyle w:val="ListParagraph"/>
        <w:numPr>
          <w:ilvl w:val="0"/>
          <w:numId w:val="107"/>
        </w:numPr>
        <w:suppressAutoHyphens w:val="true"/>
        <w:spacing w:lineRule="auto" w:line="360" w:before="0" w:after="0"/>
        <w:contextualSpacing/>
        <w:jc w:val="both"/>
        <w:textAlignment w:val="baseline"/>
        <w:rPr>
          <w:rFonts w:eastAsia="Calibri"/>
          <w:sz w:val="22"/>
          <w:szCs w:val="22"/>
        </w:rPr>
      </w:pPr>
      <w:r>
        <w:rPr>
          <w:rFonts w:eastAsia="Calibri"/>
          <w:sz w:val="22"/>
          <w:szCs w:val="22"/>
        </w:rPr>
        <w:t>Wśród osób ubezpieczonych było 885 kobiet i 1081 mężczyzn,</w:t>
      </w:r>
    </w:p>
    <w:p>
      <w:pPr>
        <w:pStyle w:val="ListParagraph"/>
        <w:numPr>
          <w:ilvl w:val="0"/>
          <w:numId w:val="108"/>
        </w:numPr>
        <w:suppressAutoHyphens w:val="true"/>
        <w:spacing w:lineRule="auto" w:line="360" w:before="0" w:after="0"/>
        <w:contextualSpacing/>
        <w:jc w:val="both"/>
        <w:textAlignment w:val="baseline"/>
        <w:rPr>
          <w:rFonts w:eastAsia="Calibri"/>
          <w:sz w:val="22"/>
          <w:szCs w:val="22"/>
        </w:rPr>
      </w:pPr>
      <w:r>
        <w:rPr>
          <w:rFonts w:eastAsia="Calibri"/>
          <w:sz w:val="22"/>
          <w:szCs w:val="22"/>
        </w:rPr>
        <w:t>Najwięcej ubezpieczonych było w wieku 35-44 lat – 555 osób i 25-34 lat – 533 osób.</w:t>
      </w:r>
    </w:p>
    <w:p>
      <w:pPr>
        <w:pStyle w:val="ListParagraph"/>
        <w:spacing w:lineRule="auto" w:line="360"/>
        <w:ind w:left="0" w:hanging="0"/>
        <w:jc w:val="both"/>
        <w:rPr>
          <w:rFonts w:eastAsia="Calibri"/>
          <w:sz w:val="22"/>
          <w:szCs w:val="22"/>
        </w:rPr>
      </w:pPr>
      <w:r>
        <w:rPr>
          <w:rFonts w:eastAsia="Calibri"/>
          <w:sz w:val="22"/>
          <w:szCs w:val="22"/>
        </w:rPr>
      </w:r>
    </w:p>
    <w:p>
      <w:pPr>
        <w:pStyle w:val="Caption"/>
        <w:spacing w:lineRule="auto" w:line="360" w:before="0" w:after="0"/>
        <w:rPr>
          <w:rFonts w:ascii="Times New Roman" w:hAnsi="Times New Roman" w:cs="Times New Roman"/>
          <w:color w:val="auto"/>
        </w:rPr>
      </w:pPr>
      <w:r>
        <w:rPr>
          <w:rFonts w:cs="Times New Roman" w:ascii="Times New Roman" w:hAnsi="Times New Roman"/>
          <w:color w:val="auto"/>
        </w:rPr>
        <w:t>Tabela 8. Liczba ubezpieczonych w zależności od płatnika składek</w:t>
      </w:r>
    </w:p>
    <w:p>
      <w:pPr>
        <w:pStyle w:val="Standard"/>
        <w:spacing w:lineRule="auto" w:line="360"/>
        <w:jc w:val="center"/>
        <w:rPr>
          <w:rFonts w:ascii="Times New Roman" w:hAnsi="Times New Roman" w:cs="Times New Roman"/>
          <w:sz w:val="22"/>
          <w:szCs w:val="22"/>
        </w:rPr>
      </w:pPr>
      <w:r>
        <w:rPr/>
        <w:drawing>
          <wp:inline distT="0" distB="0" distL="0" distR="0">
            <wp:extent cx="5733415" cy="2624455"/>
            <wp:effectExtent l="0" t="0" r="0" b="0"/>
            <wp:docPr id="12" name="Obraz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5" descr=""/>
                    <pic:cNvPicPr>
                      <a:picLocks noChangeAspect="1" noChangeArrowheads="1"/>
                    </pic:cNvPicPr>
                  </pic:nvPicPr>
                  <pic:blipFill>
                    <a:blip r:embed="rId13"/>
                    <a:stretch>
                      <a:fillRect/>
                    </a:stretch>
                  </pic:blipFill>
                  <pic:spPr bwMode="auto">
                    <a:xfrm>
                      <a:off x="0" y="0"/>
                      <a:ext cx="5733415" cy="2624455"/>
                    </a:xfrm>
                    <a:prstGeom prst="rect">
                      <a:avLst/>
                    </a:prstGeom>
                  </pic:spPr>
                </pic:pic>
              </a:graphicData>
            </a:graphic>
          </wp:inline>
        </w:drawing>
      </w:r>
    </w:p>
    <w:p>
      <w:pPr>
        <w:pStyle w:val="Standard"/>
        <w:spacing w:lineRule="auto" w:line="360"/>
        <w:jc w:val="both"/>
        <w:rPr>
          <w:rFonts w:ascii="Times New Roman" w:hAnsi="Times New Roman" w:eastAsia="Calibri" w:cs="Times New Roman"/>
          <w:sz w:val="22"/>
          <w:szCs w:val="22"/>
        </w:rPr>
      </w:pPr>
      <w:r>
        <w:rPr>
          <w:rFonts w:eastAsia="Calibri" w:cs="Times New Roman" w:ascii="Times New Roman" w:hAnsi="Times New Roman"/>
          <w:sz w:val="22"/>
          <w:szCs w:val="22"/>
        </w:rPr>
        <w:t>Źródło: Obliczenia SGH na podstawie danych GUS.</w:t>
      </w:r>
    </w:p>
    <w:p>
      <w:pPr>
        <w:pStyle w:val="Standard"/>
        <w:spacing w:lineRule="auto" w:line="360"/>
        <w:jc w:val="both"/>
        <w:rPr>
          <w:rFonts w:ascii="Times New Roman" w:hAnsi="Times New Roman" w:eastAsia="Calibri" w:cs="Times New Roman"/>
          <w:sz w:val="22"/>
          <w:szCs w:val="22"/>
        </w:rPr>
      </w:pPr>
      <w:r>
        <w:rPr>
          <w:rFonts w:eastAsia="Calibri" w:cs="Times New Roman" w:ascii="Times New Roman" w:hAnsi="Times New Roman"/>
          <w:sz w:val="22"/>
          <w:szCs w:val="22"/>
        </w:rPr>
      </w:r>
    </w:p>
    <w:p>
      <w:pPr>
        <w:pStyle w:val="Standard"/>
        <w:spacing w:lineRule="auto" w:line="360"/>
        <w:ind w:firstLine="720"/>
        <w:jc w:val="both"/>
        <w:rPr>
          <w:rFonts w:ascii="Times New Roman" w:hAnsi="Times New Roman" w:eastAsia="Calibri" w:cs="Times New Roman"/>
          <w:sz w:val="22"/>
          <w:szCs w:val="22"/>
        </w:rPr>
      </w:pPr>
      <w:r>
        <w:rPr>
          <w:rFonts w:eastAsia="Calibri" w:cs="Times New Roman" w:ascii="Times New Roman" w:hAnsi="Times New Roman"/>
          <w:sz w:val="22"/>
          <w:szCs w:val="22"/>
        </w:rPr>
        <w:t>Najwięcej ubezpieczonych było w sekcjach:</w:t>
      </w:r>
    </w:p>
    <w:p>
      <w:pPr>
        <w:pStyle w:val="ListParagraph"/>
        <w:numPr>
          <w:ilvl w:val="0"/>
          <w:numId w:val="33"/>
        </w:numPr>
        <w:suppressAutoHyphens w:val="true"/>
        <w:spacing w:lineRule="auto" w:line="360" w:before="0" w:after="0"/>
        <w:contextualSpacing/>
        <w:jc w:val="both"/>
        <w:textAlignment w:val="baseline"/>
        <w:rPr>
          <w:rFonts w:eastAsia="Calibri"/>
          <w:sz w:val="22"/>
          <w:szCs w:val="22"/>
        </w:rPr>
      </w:pPr>
      <w:r>
        <w:rPr>
          <w:rFonts w:eastAsia="Calibri"/>
          <w:sz w:val="22"/>
          <w:szCs w:val="22"/>
        </w:rPr>
        <w:t>Handel hurtowy i detaliczny; naprawa pojazdów samochodowych, włączając motocykle (G) (432 osób),</w:t>
      </w:r>
    </w:p>
    <w:p>
      <w:pPr>
        <w:pStyle w:val="ListParagraph"/>
        <w:numPr>
          <w:ilvl w:val="0"/>
          <w:numId w:val="109"/>
        </w:numPr>
        <w:suppressAutoHyphens w:val="true"/>
        <w:spacing w:lineRule="auto" w:line="360" w:before="0" w:after="0"/>
        <w:contextualSpacing/>
        <w:jc w:val="both"/>
        <w:textAlignment w:val="baseline"/>
        <w:rPr>
          <w:rFonts w:eastAsia="Calibri"/>
          <w:sz w:val="22"/>
          <w:szCs w:val="22"/>
        </w:rPr>
      </w:pPr>
      <w:r>
        <w:rPr>
          <w:rFonts w:eastAsia="Calibri"/>
          <w:sz w:val="22"/>
          <w:szCs w:val="22"/>
        </w:rPr>
        <w:t>Przetwórstwo przemysłowe (C) (391 osób),</w:t>
      </w:r>
    </w:p>
    <w:p>
      <w:pPr>
        <w:pStyle w:val="ListParagraph"/>
        <w:numPr>
          <w:ilvl w:val="0"/>
          <w:numId w:val="110"/>
        </w:numPr>
        <w:suppressAutoHyphens w:val="true"/>
        <w:spacing w:lineRule="auto" w:line="360" w:before="0" w:after="0"/>
        <w:contextualSpacing/>
        <w:jc w:val="both"/>
        <w:textAlignment w:val="baseline"/>
        <w:rPr>
          <w:rFonts w:eastAsia="Calibri"/>
          <w:sz w:val="22"/>
          <w:szCs w:val="22"/>
        </w:rPr>
      </w:pPr>
      <w:r>
        <w:rPr>
          <w:rFonts w:eastAsia="Calibri"/>
          <w:sz w:val="22"/>
          <w:szCs w:val="22"/>
        </w:rPr>
        <w:t>Budownictwo (F) (190 osób).</w:t>
      </w:r>
    </w:p>
    <w:p>
      <w:pPr>
        <w:pStyle w:val="Caption"/>
        <w:spacing w:lineRule="auto" w:line="360" w:before="0" w:after="0"/>
        <w:rPr>
          <w:rFonts w:ascii="Times New Roman" w:hAnsi="Times New Roman" w:cs="Times New Roman"/>
          <w:color w:val="auto"/>
        </w:rPr>
      </w:pPr>
      <w:r>
        <w:rPr>
          <w:rFonts w:cs="Times New Roman" w:ascii="Times New Roman" w:hAnsi="Times New Roman"/>
          <w:color w:val="auto"/>
        </w:rPr>
        <w:t>Rysunek 6. Liczba ubezpieczonych według sekcji i płatnika składek (2018)</w:t>
      </w:r>
    </w:p>
    <w:p>
      <w:pPr>
        <w:pStyle w:val="Standard"/>
        <w:spacing w:lineRule="auto" w:line="360"/>
        <w:rPr>
          <w:rFonts w:ascii="Times New Roman" w:hAnsi="Times New Roman" w:cs="Times New Roman"/>
          <w:sz w:val="22"/>
          <w:szCs w:val="22"/>
        </w:rPr>
      </w:pPr>
      <w:r>
        <w:rPr/>
        <w:drawing>
          <wp:inline distT="0" distB="0" distL="0" distR="0">
            <wp:extent cx="5733415" cy="2059940"/>
            <wp:effectExtent l="0" t="0" r="0" b="0"/>
            <wp:docPr id="13" name="Obraz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6" descr=""/>
                    <pic:cNvPicPr>
                      <a:picLocks noChangeAspect="1" noChangeArrowheads="1"/>
                    </pic:cNvPicPr>
                  </pic:nvPicPr>
                  <pic:blipFill>
                    <a:blip r:embed="rId14"/>
                    <a:stretch>
                      <a:fillRect/>
                    </a:stretch>
                  </pic:blipFill>
                  <pic:spPr bwMode="auto">
                    <a:xfrm>
                      <a:off x="0" y="0"/>
                      <a:ext cx="5733415" cy="2059940"/>
                    </a:xfrm>
                    <a:prstGeom prst="rect">
                      <a:avLst/>
                    </a:prstGeom>
                  </pic:spPr>
                </pic:pic>
              </a:graphicData>
            </a:graphic>
          </wp:inline>
        </w:drawing>
      </w:r>
    </w:p>
    <w:p>
      <w:pPr>
        <w:pStyle w:val="Standard"/>
        <w:spacing w:lineRule="auto" w:line="360"/>
        <w:jc w:val="both"/>
        <w:rPr>
          <w:rFonts w:ascii="Times New Roman" w:hAnsi="Times New Roman" w:eastAsia="Calibri" w:cs="Times New Roman"/>
          <w:sz w:val="22"/>
          <w:szCs w:val="22"/>
        </w:rPr>
      </w:pPr>
      <w:r>
        <w:rPr>
          <w:rFonts w:eastAsia="Calibri" w:cs="Times New Roman" w:ascii="Times New Roman" w:hAnsi="Times New Roman"/>
          <w:sz w:val="22"/>
          <w:szCs w:val="22"/>
        </w:rPr>
        <w:t>Źródło: Obliczenia SGH na podstawie danych GUS.</w:t>
      </w:r>
    </w:p>
    <w:p>
      <w:pPr>
        <w:pStyle w:val="Caption"/>
        <w:spacing w:lineRule="auto" w:line="360" w:before="0" w:after="0"/>
        <w:rPr>
          <w:rFonts w:ascii="Times New Roman" w:hAnsi="Times New Roman" w:cs="Times New Roman"/>
          <w:color w:val="auto"/>
        </w:rPr>
      </w:pPr>
      <w:r>
        <w:rPr>
          <w:rFonts w:cs="Times New Roman" w:ascii="Times New Roman" w:hAnsi="Times New Roman"/>
          <w:color w:val="auto"/>
        </w:rPr>
        <w:t>Rysunek 7. Liczba ubezpieczonych według wielkości płatnika składek, wieku i płci (2018)</w:t>
      </w:r>
    </w:p>
    <w:p>
      <w:pPr>
        <w:pStyle w:val="Standard"/>
        <w:spacing w:lineRule="auto" w:line="360"/>
        <w:jc w:val="center"/>
        <w:rPr>
          <w:rFonts w:ascii="Times New Roman" w:hAnsi="Times New Roman" w:cs="Times New Roman"/>
          <w:sz w:val="22"/>
          <w:szCs w:val="22"/>
        </w:rPr>
      </w:pPr>
      <w:r>
        <w:rPr/>
        <w:drawing>
          <wp:inline distT="0" distB="0" distL="0" distR="0">
            <wp:extent cx="5733415" cy="3209290"/>
            <wp:effectExtent l="0" t="0" r="0" b="0"/>
            <wp:docPr id="14" name="Obraz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7" descr=""/>
                    <pic:cNvPicPr>
                      <a:picLocks noChangeAspect="1" noChangeArrowheads="1"/>
                    </pic:cNvPicPr>
                  </pic:nvPicPr>
                  <pic:blipFill>
                    <a:blip r:embed="rId15"/>
                    <a:stretch>
                      <a:fillRect/>
                    </a:stretch>
                  </pic:blipFill>
                  <pic:spPr bwMode="auto">
                    <a:xfrm>
                      <a:off x="0" y="0"/>
                      <a:ext cx="5733415" cy="3209290"/>
                    </a:xfrm>
                    <a:prstGeom prst="rect">
                      <a:avLst/>
                    </a:prstGeom>
                  </pic:spPr>
                </pic:pic>
              </a:graphicData>
            </a:graphic>
          </wp:inline>
        </w:drawing>
      </w:r>
    </w:p>
    <w:p>
      <w:pPr>
        <w:pStyle w:val="Standard"/>
        <w:spacing w:lineRule="auto" w:line="360"/>
        <w:jc w:val="both"/>
        <w:rPr>
          <w:rFonts w:ascii="Times New Roman" w:hAnsi="Times New Roman" w:eastAsia="Calibri" w:cs="Times New Roman"/>
          <w:sz w:val="22"/>
          <w:szCs w:val="22"/>
        </w:rPr>
      </w:pPr>
      <w:r>
        <w:rPr>
          <w:rFonts w:eastAsia="Calibri" w:cs="Times New Roman" w:ascii="Times New Roman" w:hAnsi="Times New Roman"/>
          <w:sz w:val="22"/>
          <w:szCs w:val="22"/>
        </w:rPr>
        <w:t>Źródło: Obliczenia SGH na podstawie danych GUS.</w:t>
      </w:r>
    </w:p>
    <w:p>
      <w:pPr>
        <w:pStyle w:val="Standard"/>
        <w:spacing w:lineRule="auto" w:line="360"/>
        <w:jc w:val="both"/>
        <w:rPr>
          <w:rFonts w:ascii="Times New Roman" w:hAnsi="Times New Roman" w:eastAsia="Calibri" w:cs="Times New Roman"/>
          <w:sz w:val="22"/>
          <w:szCs w:val="22"/>
        </w:rPr>
      </w:pPr>
      <w:r>
        <w:rPr>
          <w:rFonts w:eastAsia="Calibri" w:cs="Times New Roman" w:ascii="Times New Roman" w:hAnsi="Times New Roman"/>
          <w:sz w:val="22"/>
          <w:szCs w:val="22"/>
        </w:rPr>
      </w:r>
    </w:p>
    <w:p>
      <w:pPr>
        <w:pStyle w:val="Standard"/>
        <w:spacing w:lineRule="auto" w:line="360"/>
        <w:ind w:firstLine="720"/>
        <w:jc w:val="both"/>
        <w:rPr>
          <w:rFonts w:ascii="Times New Roman" w:hAnsi="Times New Roman" w:eastAsia="Calibri" w:cs="Times New Roman"/>
          <w:sz w:val="22"/>
          <w:szCs w:val="22"/>
        </w:rPr>
      </w:pPr>
      <w:r>
        <w:rPr>
          <w:rFonts w:eastAsia="Calibri" w:cs="Times New Roman" w:ascii="Times New Roman" w:hAnsi="Times New Roman"/>
          <w:sz w:val="22"/>
          <w:szCs w:val="22"/>
        </w:rPr>
        <w:t>Przeciętna podstawa wymiaru składek na ubezpieczenia społeczne w gminie Choceń w grudniu 2018 r. wynosiła 2730 zł. Przeciętna podstawa wymiaru składek u mężczyzn jest wyższa niż u kobiet. Najwyższe podstawy wymiaru składek spośród głównych zidentyfikowanych sektorów według zatrudnienia odnotowane są w sekcji Budownictwo (F). Podstawy wymiaru składek w sektorze MŚP są najwyższe wśród płatników zatrudniających 50-249 osób.</w:t>
      </w:r>
    </w:p>
    <w:p>
      <w:pPr>
        <w:pStyle w:val="Standard"/>
        <w:spacing w:lineRule="auto" w:line="360"/>
        <w:ind w:firstLine="720"/>
        <w:jc w:val="both"/>
        <w:rPr>
          <w:rFonts w:ascii="Times New Roman" w:hAnsi="Times New Roman" w:eastAsia="Calibri" w:cs="Times New Roman"/>
          <w:sz w:val="22"/>
          <w:szCs w:val="22"/>
        </w:rPr>
      </w:pPr>
      <w:r>
        <w:rPr>
          <w:rFonts w:eastAsia="Calibri" w:cs="Times New Roman" w:ascii="Times New Roman" w:hAnsi="Times New Roman"/>
          <w:sz w:val="22"/>
          <w:szCs w:val="22"/>
        </w:rPr>
        <w:t>Tabele poniżej prezentują informacje dotyczące średnich podstaw wymiaru składek w złotych, w porównaniu do średnich dla danego typu gminy oraz w porównaniu do średnich podstaw wymiaru w województwie kujawsko-pomorskim.</w:t>
        <w:tab/>
        <w:br/>
      </w:r>
    </w:p>
    <w:p>
      <w:pPr>
        <w:pStyle w:val="Caption"/>
        <w:spacing w:lineRule="auto" w:line="360" w:before="0" w:after="0"/>
        <w:jc w:val="both"/>
        <w:rPr>
          <w:rFonts w:ascii="Times New Roman" w:hAnsi="Times New Roman" w:cs="Times New Roman"/>
          <w:color w:val="auto"/>
        </w:rPr>
      </w:pPr>
      <w:r>
        <w:rPr>
          <w:rFonts w:cs="Times New Roman" w:ascii="Times New Roman" w:hAnsi="Times New Roman"/>
          <w:color w:val="auto"/>
        </w:rPr>
        <w:t>Tabela 9. Średnie podstawy wymiaru składek według wielkości, płci oraz wybranych sekcji zatrudnienia w złotych (2018)</w:t>
      </w:r>
    </w:p>
    <w:p>
      <w:pPr>
        <w:pStyle w:val="Standard"/>
        <w:spacing w:lineRule="auto" w:line="360"/>
        <w:jc w:val="center"/>
        <w:rPr>
          <w:rFonts w:ascii="Times New Roman" w:hAnsi="Times New Roman" w:cs="Times New Roman"/>
          <w:sz w:val="22"/>
          <w:szCs w:val="22"/>
        </w:rPr>
      </w:pPr>
      <w:r>
        <w:rPr/>
        <w:drawing>
          <wp:inline distT="0" distB="0" distL="0" distR="0">
            <wp:extent cx="5570220" cy="2712720"/>
            <wp:effectExtent l="0" t="0" r="0" b="0"/>
            <wp:docPr id="15" name="Obraz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8" descr=""/>
                    <pic:cNvPicPr>
                      <a:picLocks noChangeAspect="1" noChangeArrowheads="1"/>
                    </pic:cNvPicPr>
                  </pic:nvPicPr>
                  <pic:blipFill>
                    <a:blip r:embed="rId16"/>
                    <a:stretch>
                      <a:fillRect/>
                    </a:stretch>
                  </pic:blipFill>
                  <pic:spPr bwMode="auto">
                    <a:xfrm>
                      <a:off x="0" y="0"/>
                      <a:ext cx="5570220" cy="2712720"/>
                    </a:xfrm>
                    <a:prstGeom prst="rect">
                      <a:avLst/>
                    </a:prstGeom>
                  </pic:spPr>
                </pic:pic>
              </a:graphicData>
            </a:graphic>
          </wp:inline>
        </w:drawing>
      </w:r>
    </w:p>
    <w:p>
      <w:pPr>
        <w:pStyle w:val="Standard"/>
        <w:spacing w:lineRule="auto" w:line="360"/>
        <w:jc w:val="both"/>
        <w:rPr>
          <w:rFonts w:ascii="Times New Roman" w:hAnsi="Times New Roman" w:eastAsia="Calibri" w:cs="Times New Roman"/>
          <w:sz w:val="22"/>
          <w:szCs w:val="22"/>
        </w:rPr>
      </w:pPr>
      <w:r>
        <w:rPr>
          <w:rFonts w:eastAsia="Calibri" w:cs="Times New Roman" w:ascii="Times New Roman" w:hAnsi="Times New Roman"/>
          <w:sz w:val="22"/>
          <w:szCs w:val="22"/>
        </w:rPr>
        <w:t>Źródło: Obliczenia SGH na podstawie danych GUS, ZUS i KAS.</w:t>
      </w:r>
    </w:p>
    <w:p>
      <w:pPr>
        <w:pStyle w:val="Standard"/>
        <w:spacing w:lineRule="auto" w:line="360"/>
        <w:jc w:val="both"/>
        <w:rPr>
          <w:rFonts w:ascii="Times New Roman" w:hAnsi="Times New Roman" w:eastAsia="Calibri" w:cs="Times New Roman"/>
          <w:sz w:val="22"/>
          <w:szCs w:val="22"/>
        </w:rPr>
      </w:pPr>
      <w:r>
        <w:rPr>
          <w:rFonts w:eastAsia="Calibri" w:cs="Times New Roman" w:ascii="Times New Roman" w:hAnsi="Times New Roman"/>
          <w:sz w:val="22"/>
          <w:szCs w:val="22"/>
        </w:rPr>
      </w:r>
    </w:p>
    <w:p>
      <w:pPr>
        <w:pStyle w:val="Caption"/>
        <w:spacing w:lineRule="auto" w:line="360" w:before="0" w:after="0"/>
        <w:rPr>
          <w:rFonts w:ascii="Times New Roman" w:hAnsi="Times New Roman" w:cs="Times New Roman"/>
          <w:color w:val="auto"/>
        </w:rPr>
      </w:pPr>
      <w:r>
        <w:rPr>
          <w:rFonts w:cs="Times New Roman" w:ascii="Times New Roman" w:hAnsi="Times New Roman"/>
          <w:color w:val="auto"/>
        </w:rPr>
        <w:t>Tabela 10. Średnie podstawy wymiaru składek według wielkości, płci oraz wybranych sekcji zatrudnienia w porównaniu do średniej w danym typie gminy (2018)</w:t>
      </w:r>
    </w:p>
    <w:p>
      <w:pPr>
        <w:pStyle w:val="Standard"/>
        <w:spacing w:lineRule="auto" w:line="360"/>
        <w:jc w:val="center"/>
        <w:rPr>
          <w:rFonts w:ascii="Times New Roman" w:hAnsi="Times New Roman" w:cs="Times New Roman"/>
          <w:sz w:val="22"/>
          <w:szCs w:val="22"/>
        </w:rPr>
      </w:pPr>
      <w:r>
        <w:rPr/>
        <w:drawing>
          <wp:inline distT="0" distB="0" distL="0" distR="0">
            <wp:extent cx="5554980" cy="2651760"/>
            <wp:effectExtent l="0" t="0" r="0" b="0"/>
            <wp:docPr id="16" name="Obraz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9" descr=""/>
                    <pic:cNvPicPr>
                      <a:picLocks noChangeAspect="1" noChangeArrowheads="1"/>
                    </pic:cNvPicPr>
                  </pic:nvPicPr>
                  <pic:blipFill>
                    <a:blip r:embed="rId17"/>
                    <a:stretch>
                      <a:fillRect/>
                    </a:stretch>
                  </pic:blipFill>
                  <pic:spPr bwMode="auto">
                    <a:xfrm>
                      <a:off x="0" y="0"/>
                      <a:ext cx="5554980" cy="2651760"/>
                    </a:xfrm>
                    <a:prstGeom prst="rect">
                      <a:avLst/>
                    </a:prstGeom>
                  </pic:spPr>
                </pic:pic>
              </a:graphicData>
            </a:graphic>
          </wp:inline>
        </w:drawing>
      </w:r>
    </w:p>
    <w:p>
      <w:pPr>
        <w:pStyle w:val="Standard"/>
        <w:spacing w:lineRule="auto" w:line="360"/>
        <w:jc w:val="both"/>
        <w:rPr>
          <w:rFonts w:ascii="Times New Roman" w:hAnsi="Times New Roman" w:eastAsia="Calibri" w:cs="Times New Roman"/>
          <w:sz w:val="22"/>
          <w:szCs w:val="22"/>
        </w:rPr>
      </w:pPr>
      <w:r>
        <w:rPr>
          <w:rFonts w:eastAsia="Calibri" w:cs="Times New Roman" w:ascii="Times New Roman" w:hAnsi="Times New Roman"/>
          <w:sz w:val="22"/>
          <w:szCs w:val="22"/>
        </w:rPr>
        <w:t>Źródło: Obliczenia SGH na podstawie danych GUS, ZUS i KAS.</w:t>
      </w:r>
    </w:p>
    <w:p>
      <w:pPr>
        <w:pStyle w:val="Standard"/>
        <w:spacing w:lineRule="auto" w:line="360"/>
        <w:jc w:val="both"/>
        <w:rPr>
          <w:rFonts w:ascii="Times New Roman" w:hAnsi="Times New Roman" w:eastAsia="Calibri" w:cs="Times New Roman"/>
          <w:sz w:val="22"/>
          <w:szCs w:val="22"/>
        </w:rPr>
      </w:pPr>
      <w:r>
        <w:rPr>
          <w:rFonts w:eastAsia="Calibri" w:cs="Times New Roman" w:ascii="Times New Roman" w:hAnsi="Times New Roman"/>
          <w:sz w:val="22"/>
          <w:szCs w:val="22"/>
        </w:rPr>
      </w:r>
    </w:p>
    <w:p>
      <w:pPr>
        <w:pStyle w:val="Standard"/>
        <w:spacing w:lineRule="auto" w:line="360"/>
        <w:jc w:val="both"/>
        <w:rPr>
          <w:rFonts w:ascii="Times New Roman" w:hAnsi="Times New Roman" w:eastAsia="Calibri" w:cs="Times New Roman"/>
          <w:sz w:val="22"/>
          <w:szCs w:val="22"/>
        </w:rPr>
      </w:pPr>
      <w:r>
        <w:rPr>
          <w:rFonts w:eastAsia="Calibri" w:cs="Times New Roman" w:ascii="Times New Roman" w:hAnsi="Times New Roman"/>
          <w:sz w:val="22"/>
          <w:szCs w:val="22"/>
        </w:rPr>
      </w:r>
    </w:p>
    <w:p>
      <w:pPr>
        <w:pStyle w:val="Caption"/>
        <w:spacing w:lineRule="auto" w:line="360" w:before="0" w:after="0"/>
        <w:jc w:val="both"/>
        <w:rPr>
          <w:rFonts w:ascii="Times New Roman" w:hAnsi="Times New Roman" w:cs="Times New Roman"/>
          <w:color w:val="auto"/>
        </w:rPr>
      </w:pPr>
      <w:r>
        <w:rPr>
          <w:rFonts w:cs="Times New Roman" w:ascii="Times New Roman" w:hAnsi="Times New Roman"/>
          <w:color w:val="auto"/>
        </w:rPr>
        <w:t>Tabela 11. Średnie podstawy wymiaru składek według wielkości, płci oraz wybranych sekcji zatrudnienia w porównaniu do średniej w województwie kujawsko-pomorskim (2018)</w:t>
      </w:r>
    </w:p>
    <w:p>
      <w:pPr>
        <w:pStyle w:val="Standard"/>
        <w:spacing w:lineRule="auto" w:line="360"/>
        <w:jc w:val="center"/>
        <w:rPr>
          <w:rFonts w:ascii="Times New Roman" w:hAnsi="Times New Roman" w:cs="Times New Roman"/>
          <w:sz w:val="22"/>
          <w:szCs w:val="22"/>
        </w:rPr>
      </w:pPr>
      <w:r>
        <w:rPr/>
        <w:drawing>
          <wp:inline distT="0" distB="0" distL="0" distR="0">
            <wp:extent cx="5433060" cy="2689860"/>
            <wp:effectExtent l="0" t="0" r="0" b="0"/>
            <wp:docPr id="17" name="Obraz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20" descr=""/>
                    <pic:cNvPicPr>
                      <a:picLocks noChangeAspect="1" noChangeArrowheads="1"/>
                    </pic:cNvPicPr>
                  </pic:nvPicPr>
                  <pic:blipFill>
                    <a:blip r:embed="rId18"/>
                    <a:stretch>
                      <a:fillRect/>
                    </a:stretch>
                  </pic:blipFill>
                  <pic:spPr bwMode="auto">
                    <a:xfrm>
                      <a:off x="0" y="0"/>
                      <a:ext cx="5433060" cy="2689860"/>
                    </a:xfrm>
                    <a:prstGeom prst="rect">
                      <a:avLst/>
                    </a:prstGeom>
                  </pic:spPr>
                </pic:pic>
              </a:graphicData>
            </a:graphic>
          </wp:inline>
        </w:drawing>
      </w:r>
    </w:p>
    <w:p>
      <w:pPr>
        <w:pStyle w:val="Standard"/>
        <w:spacing w:lineRule="auto" w:line="360"/>
        <w:jc w:val="both"/>
        <w:rPr>
          <w:rFonts w:ascii="Times New Roman" w:hAnsi="Times New Roman" w:eastAsia="Calibri" w:cs="Times New Roman"/>
          <w:sz w:val="22"/>
          <w:szCs w:val="22"/>
        </w:rPr>
      </w:pPr>
      <w:r>
        <w:rPr>
          <w:rFonts w:eastAsia="Calibri" w:cs="Times New Roman" w:ascii="Times New Roman" w:hAnsi="Times New Roman"/>
          <w:sz w:val="22"/>
          <w:szCs w:val="22"/>
        </w:rPr>
        <w:t>Źródło: Obliczenia SGH na podstawie danych GUS, ZUS i KAS.</w:t>
      </w:r>
    </w:p>
    <w:p>
      <w:pPr>
        <w:pStyle w:val="Nagwek2"/>
        <w:rPr>
          <w:rFonts w:ascii="Times New Roman" w:hAnsi="Times New Roman" w:cs="Times New Roman"/>
        </w:rPr>
      </w:pPr>
      <w:bookmarkStart w:id="28" w:name="_Toc85228968"/>
      <w:bookmarkStart w:id="29" w:name="_Toc70257487"/>
      <w:r>
        <w:rPr>
          <w:rFonts w:cs="Times New Roman" w:ascii="Times New Roman" w:hAnsi="Times New Roman"/>
        </w:rPr>
        <w:t>Przedsiębiorstwa płacące podatki w gminie</w:t>
      </w:r>
      <w:bookmarkEnd w:id="28"/>
      <w:bookmarkEnd w:id="29"/>
    </w:p>
    <w:p>
      <w:pPr>
        <w:pStyle w:val="Caption"/>
        <w:spacing w:lineRule="auto" w:line="360" w:before="0" w:after="0"/>
        <w:ind w:firstLine="720"/>
        <w:jc w:val="both"/>
        <w:rPr>
          <w:rFonts w:ascii="Times New Roman" w:hAnsi="Times New Roman" w:cs="Times New Roman"/>
          <w:color w:val="auto"/>
        </w:rPr>
      </w:pPr>
      <w:r>
        <w:rPr>
          <w:rFonts w:cs="Times New Roman" w:ascii="Times New Roman" w:hAnsi="Times New Roman"/>
          <w:color w:val="auto"/>
        </w:rPr>
        <w:t>Informacja obejmuje przedsiębiorców i przedsiębiorstwa opłacające podatki dochodowe od osób fizycznych: według stawki podatkowej (formularz PIT 36), w tym również Ci, którzy zadeklarowali opłacanie podatku liniowego (PIT 36L). Kolejną grupą są przedsiębiorcy, którzy opłacają podatki ryczałtowe (na formularzach PIT 28A i PIT28B), jak również osoby prawne, płacące podatek dochodowy od osób prawnych CIT. Forma opłacania podatku zależy od formy prowadzonej działalności, a także wielkości przedsiębiorstwa.</w:t>
      </w:r>
    </w:p>
    <w:p>
      <w:pPr>
        <w:pStyle w:val="Caption"/>
        <w:spacing w:lineRule="auto" w:line="360" w:before="0" w:after="0"/>
        <w:ind w:firstLine="720"/>
        <w:jc w:val="both"/>
        <w:rPr>
          <w:rFonts w:ascii="Times New Roman" w:hAnsi="Times New Roman" w:cs="Times New Roman"/>
          <w:color w:val="auto"/>
        </w:rPr>
      </w:pPr>
      <w:r>
        <w:rPr>
          <w:rFonts w:cs="Times New Roman" w:ascii="Times New Roman" w:hAnsi="Times New Roman"/>
          <w:color w:val="auto"/>
        </w:rPr>
        <w:t>W gminie Choceń według danych podatkowych funkcjonuje 111 przedsiębiorstw, w tej grupie 8 to przedsiębiorstwa małe, a 2 przedsiębiorstwa średnie.</w:t>
      </w:r>
    </w:p>
    <w:p>
      <w:pPr>
        <w:pStyle w:val="Standard"/>
        <w:spacing w:lineRule="auto" w:line="360"/>
        <w:ind w:firstLine="720"/>
        <w:jc w:val="both"/>
        <w:rPr>
          <w:rFonts w:ascii="Times New Roman" w:hAnsi="Times New Roman" w:cs="Times New Roman"/>
          <w:sz w:val="22"/>
          <w:szCs w:val="22"/>
        </w:rPr>
      </w:pPr>
      <w:r>
        <w:rPr>
          <w:rFonts w:cs="Times New Roman" w:ascii="Times New Roman" w:hAnsi="Times New Roman"/>
          <w:sz w:val="22"/>
          <w:szCs w:val="22"/>
        </w:rPr>
        <w:t>W grupie przedsiębiorstw mikro dominuje rozliczanie w formie podatku PIT (1062,5%). W przypadku małych przedsiębiorstw 62,5% rozlicza się w ramach podatku CIT, a 37,5% korzysta z rozliczenia się w formie podatku liniowego (PIT-36L).</w:t>
      </w:r>
    </w:p>
    <w:p>
      <w:pPr>
        <w:pStyle w:val="Standard"/>
        <w:spacing w:lineRule="auto" w:line="360"/>
        <w:ind w:firstLine="720"/>
        <w:jc w:val="both"/>
        <w:rPr>
          <w:rFonts w:ascii="Times New Roman" w:hAnsi="Times New Roman" w:cs="Times New Roman"/>
          <w:sz w:val="22"/>
          <w:szCs w:val="22"/>
        </w:rPr>
      </w:pPr>
      <w:r>
        <w:rPr>
          <w:rFonts w:cs="Times New Roman" w:ascii="Times New Roman" w:hAnsi="Times New Roman"/>
          <w:sz w:val="22"/>
          <w:szCs w:val="22"/>
        </w:rPr>
        <w:t>Przedsiębiorstwa średnie są płatnikami podatku CIT.</w:t>
      </w:r>
    </w:p>
    <w:p>
      <w:pPr>
        <w:pStyle w:val="Caption"/>
        <w:spacing w:lineRule="auto" w:line="360" w:before="0" w:after="0"/>
        <w:rPr>
          <w:rFonts w:ascii="Times New Roman" w:hAnsi="Times New Roman" w:cs="Times New Roman"/>
          <w:color w:val="auto"/>
        </w:rPr>
      </w:pPr>
      <w:r>
        <w:rPr>
          <w:rFonts w:cs="Times New Roman" w:ascii="Times New Roman" w:hAnsi="Times New Roman"/>
          <w:color w:val="auto"/>
        </w:rPr>
        <w:t>Tabela 12. Liczba przedsiębiorstw – podatników w 2018 r. w gminie</w:t>
      </w:r>
    </w:p>
    <w:p>
      <w:pPr>
        <w:pStyle w:val="Standard"/>
        <w:spacing w:lineRule="auto" w:line="360"/>
        <w:jc w:val="center"/>
        <w:rPr>
          <w:rFonts w:ascii="Times New Roman" w:hAnsi="Times New Roman" w:cs="Times New Roman"/>
          <w:sz w:val="22"/>
          <w:szCs w:val="22"/>
        </w:rPr>
      </w:pPr>
      <w:r>
        <w:rPr/>
        <w:drawing>
          <wp:inline distT="0" distB="0" distL="0" distR="0">
            <wp:extent cx="4314825" cy="1666875"/>
            <wp:effectExtent l="0" t="0" r="0" b="0"/>
            <wp:docPr id="18" name="Obraz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21" descr=""/>
                    <pic:cNvPicPr>
                      <a:picLocks noChangeAspect="1" noChangeArrowheads="1"/>
                    </pic:cNvPicPr>
                  </pic:nvPicPr>
                  <pic:blipFill>
                    <a:blip r:embed="rId19"/>
                    <a:stretch>
                      <a:fillRect/>
                    </a:stretch>
                  </pic:blipFill>
                  <pic:spPr bwMode="auto">
                    <a:xfrm>
                      <a:off x="0" y="0"/>
                      <a:ext cx="4314825" cy="1666875"/>
                    </a:xfrm>
                    <a:prstGeom prst="rect">
                      <a:avLst/>
                    </a:prstGeom>
                  </pic:spPr>
                </pic:pic>
              </a:graphicData>
            </a:graphic>
          </wp:inline>
        </w:drawing>
      </w:r>
    </w:p>
    <w:p>
      <w:pPr>
        <w:pStyle w:val="Standard"/>
        <w:spacing w:lineRule="auto" w:line="360"/>
        <w:jc w:val="both"/>
        <w:rPr>
          <w:rFonts w:ascii="Times New Roman" w:hAnsi="Times New Roman" w:eastAsia="Calibri" w:cs="Times New Roman"/>
          <w:sz w:val="22"/>
          <w:szCs w:val="22"/>
        </w:rPr>
      </w:pPr>
      <w:r>
        <w:rPr>
          <w:rFonts w:eastAsia="Calibri" w:cs="Times New Roman" w:ascii="Times New Roman" w:hAnsi="Times New Roman"/>
          <w:sz w:val="22"/>
          <w:szCs w:val="22"/>
        </w:rPr>
        <w:t>Źródło: Obliczenia SGH na podstawie danych GUS, ZUS i KAS.</w:t>
      </w:r>
    </w:p>
    <w:p>
      <w:pPr>
        <w:pStyle w:val="Standard"/>
        <w:spacing w:lineRule="auto" w:line="360"/>
        <w:jc w:val="both"/>
        <w:rPr>
          <w:rFonts w:ascii="Times New Roman" w:hAnsi="Times New Roman" w:eastAsia="Calibri" w:cs="Times New Roman"/>
          <w:sz w:val="22"/>
          <w:szCs w:val="22"/>
        </w:rPr>
      </w:pPr>
      <w:r>
        <w:rPr>
          <w:rFonts w:eastAsia="Calibri" w:cs="Times New Roman" w:ascii="Times New Roman" w:hAnsi="Times New Roman"/>
          <w:sz w:val="22"/>
          <w:szCs w:val="22"/>
        </w:rPr>
      </w:r>
    </w:p>
    <w:p>
      <w:pPr>
        <w:pStyle w:val="Nagwek2"/>
        <w:rPr>
          <w:rFonts w:ascii="Times New Roman" w:hAnsi="Times New Roman" w:cs="Times New Roman"/>
        </w:rPr>
      </w:pPr>
      <w:bookmarkStart w:id="30" w:name="_Toc85228969"/>
      <w:bookmarkStart w:id="31" w:name="_Toc70257488"/>
      <w:r>
        <w:rPr>
          <w:rFonts w:cs="Times New Roman" w:ascii="Times New Roman" w:hAnsi="Times New Roman"/>
        </w:rPr>
        <w:t>Przychody i dochody podatników prowadzących działalność gospodarczą w gminie</w:t>
      </w:r>
      <w:bookmarkEnd w:id="30"/>
      <w:bookmarkEnd w:id="31"/>
    </w:p>
    <w:p>
      <w:pPr>
        <w:pStyle w:val="Standard"/>
        <w:spacing w:lineRule="auto" w:line="360"/>
        <w:jc w:val="both"/>
        <w:rPr>
          <w:rFonts w:ascii="Times New Roman" w:hAnsi="Times New Roman" w:cs="Times New Roman"/>
          <w:sz w:val="22"/>
          <w:szCs w:val="22"/>
        </w:rPr>
      </w:pPr>
      <w:r>
        <w:rPr>
          <w:rFonts w:cs="Times New Roman" w:ascii="Times New Roman" w:hAnsi="Times New Roman"/>
          <w:sz w:val="22"/>
          <w:szCs w:val="22"/>
        </w:rPr>
      </w:r>
    </w:p>
    <w:p>
      <w:pPr>
        <w:pStyle w:val="Standard"/>
        <w:spacing w:lineRule="auto" w:line="360"/>
        <w:ind w:firstLine="720"/>
        <w:jc w:val="both"/>
        <w:rPr>
          <w:rFonts w:ascii="Times New Roman" w:hAnsi="Times New Roman" w:cs="Times New Roman"/>
          <w:sz w:val="22"/>
          <w:szCs w:val="22"/>
        </w:rPr>
      </w:pPr>
      <w:r>
        <w:rPr>
          <w:rFonts w:cs="Times New Roman" w:ascii="Times New Roman" w:hAnsi="Times New Roman"/>
          <w:sz w:val="22"/>
          <w:szCs w:val="22"/>
        </w:rPr>
        <w:t>Łącznie przychody przedsiębiorstw (bez osób prowadzących działalność na własny rachunek) rozliczających się w gminie wynosiły 189 781 364 zł. Zestawienie przychodów według wielkości przedsiębiorstw i sposobu rozliczania podatku przedstawia tabela 12.</w:t>
      </w:r>
    </w:p>
    <w:p>
      <w:pPr>
        <w:pStyle w:val="Standard"/>
        <w:spacing w:lineRule="auto" w:line="360"/>
        <w:jc w:val="both"/>
        <w:rPr>
          <w:rFonts w:ascii="Times New Roman" w:hAnsi="Times New Roman" w:cs="Times New Roman"/>
          <w:sz w:val="22"/>
          <w:szCs w:val="22"/>
        </w:rPr>
      </w:pPr>
      <w:r>
        <w:rPr>
          <w:rFonts w:cs="Times New Roman" w:ascii="Times New Roman" w:hAnsi="Times New Roman"/>
          <w:sz w:val="22"/>
          <w:szCs w:val="22"/>
        </w:rPr>
      </w:r>
    </w:p>
    <w:p>
      <w:pPr>
        <w:pStyle w:val="Caption"/>
        <w:spacing w:lineRule="auto" w:line="360" w:before="0" w:after="0"/>
        <w:rPr>
          <w:rFonts w:ascii="Times New Roman" w:hAnsi="Times New Roman" w:cs="Times New Roman"/>
          <w:color w:val="auto"/>
        </w:rPr>
      </w:pPr>
      <w:r>
        <w:rPr>
          <w:rFonts w:cs="Times New Roman" w:ascii="Times New Roman" w:hAnsi="Times New Roman"/>
          <w:color w:val="auto"/>
        </w:rPr>
        <w:t>Tabela 13. Przychody przedsiębiorstw – podatników w 2018 r. w gminie</w:t>
      </w:r>
    </w:p>
    <w:p>
      <w:pPr>
        <w:pStyle w:val="Standard"/>
        <w:spacing w:lineRule="auto" w:line="360"/>
        <w:jc w:val="center"/>
        <w:rPr>
          <w:rFonts w:ascii="Times New Roman" w:hAnsi="Times New Roman" w:cs="Times New Roman"/>
          <w:sz w:val="22"/>
          <w:szCs w:val="22"/>
        </w:rPr>
      </w:pPr>
      <w:r>
        <w:rPr/>
        <w:drawing>
          <wp:inline distT="0" distB="0" distL="0" distR="0">
            <wp:extent cx="5733415" cy="2484120"/>
            <wp:effectExtent l="0" t="0" r="0" b="0"/>
            <wp:docPr id="19" name="Obraz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22" descr=""/>
                    <pic:cNvPicPr>
                      <a:picLocks noChangeAspect="1" noChangeArrowheads="1"/>
                    </pic:cNvPicPr>
                  </pic:nvPicPr>
                  <pic:blipFill>
                    <a:blip r:embed="rId20"/>
                    <a:stretch>
                      <a:fillRect/>
                    </a:stretch>
                  </pic:blipFill>
                  <pic:spPr bwMode="auto">
                    <a:xfrm>
                      <a:off x="0" y="0"/>
                      <a:ext cx="5733415" cy="2484120"/>
                    </a:xfrm>
                    <a:prstGeom prst="rect">
                      <a:avLst/>
                    </a:prstGeom>
                  </pic:spPr>
                </pic:pic>
              </a:graphicData>
            </a:graphic>
          </wp:inline>
        </w:drawing>
      </w:r>
    </w:p>
    <w:p>
      <w:pPr>
        <w:pStyle w:val="Standard"/>
        <w:spacing w:lineRule="auto" w:line="360"/>
        <w:jc w:val="both"/>
        <w:rPr>
          <w:rFonts w:ascii="Times New Roman" w:hAnsi="Times New Roman" w:eastAsia="Calibri" w:cs="Times New Roman"/>
          <w:sz w:val="22"/>
          <w:szCs w:val="22"/>
        </w:rPr>
      </w:pPr>
      <w:r>
        <w:rPr>
          <w:rFonts w:eastAsia="Calibri" w:cs="Times New Roman" w:ascii="Times New Roman" w:hAnsi="Times New Roman"/>
          <w:sz w:val="22"/>
          <w:szCs w:val="22"/>
        </w:rPr>
        <w:t>Źródło: Obliczenia SGH na podstawie danych GUS, ZUS i KAS.</w:t>
      </w:r>
    </w:p>
    <w:p>
      <w:pPr>
        <w:pStyle w:val="Standard"/>
        <w:spacing w:lineRule="auto" w:line="360"/>
        <w:jc w:val="both"/>
        <w:rPr>
          <w:rFonts w:ascii="Times New Roman" w:hAnsi="Times New Roman" w:eastAsia="Calibri" w:cs="Times New Roman"/>
          <w:sz w:val="22"/>
          <w:szCs w:val="22"/>
        </w:rPr>
      </w:pPr>
      <w:r>
        <w:rPr>
          <w:rFonts w:eastAsia="Calibri" w:cs="Times New Roman" w:ascii="Times New Roman" w:hAnsi="Times New Roman"/>
          <w:sz w:val="22"/>
          <w:szCs w:val="22"/>
        </w:rPr>
      </w:r>
    </w:p>
    <w:p>
      <w:pPr>
        <w:pStyle w:val="Caption"/>
        <w:spacing w:lineRule="auto" w:line="360" w:before="0" w:after="0"/>
        <w:rPr>
          <w:rFonts w:ascii="Times New Roman" w:hAnsi="Times New Roman" w:cs="Times New Roman"/>
          <w:color w:val="auto"/>
        </w:rPr>
      </w:pPr>
      <w:r>
        <w:rPr>
          <w:rFonts w:cs="Times New Roman" w:ascii="Times New Roman" w:hAnsi="Times New Roman"/>
          <w:color w:val="auto"/>
        </w:rPr>
        <w:t>Tabela 14. Dochody przedsiębiorstw – podatników (przychody pomniejszony o koszty</w:t>
      </w:r>
    </w:p>
    <w:p>
      <w:pPr>
        <w:pStyle w:val="Standard"/>
        <w:spacing w:lineRule="auto" w:line="360"/>
        <w:jc w:val="center"/>
        <w:rPr>
          <w:rFonts w:ascii="Times New Roman" w:hAnsi="Times New Roman" w:cs="Times New Roman"/>
          <w:sz w:val="22"/>
          <w:szCs w:val="22"/>
        </w:rPr>
      </w:pPr>
      <w:r>
        <w:rPr/>
        <w:drawing>
          <wp:inline distT="0" distB="0" distL="0" distR="0">
            <wp:extent cx="5733415" cy="2308225"/>
            <wp:effectExtent l="0" t="0" r="0" b="0"/>
            <wp:docPr id="20" name="Obraz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3" descr=""/>
                    <pic:cNvPicPr>
                      <a:picLocks noChangeAspect="1" noChangeArrowheads="1"/>
                    </pic:cNvPicPr>
                  </pic:nvPicPr>
                  <pic:blipFill>
                    <a:blip r:embed="rId21"/>
                    <a:stretch>
                      <a:fillRect/>
                    </a:stretch>
                  </pic:blipFill>
                  <pic:spPr bwMode="auto">
                    <a:xfrm>
                      <a:off x="0" y="0"/>
                      <a:ext cx="5733415" cy="2308225"/>
                    </a:xfrm>
                    <a:prstGeom prst="rect">
                      <a:avLst/>
                    </a:prstGeom>
                  </pic:spPr>
                </pic:pic>
              </a:graphicData>
            </a:graphic>
          </wp:inline>
        </w:drawing>
      </w:r>
    </w:p>
    <w:p>
      <w:pPr>
        <w:pStyle w:val="Standard"/>
        <w:spacing w:lineRule="auto" w:line="360"/>
        <w:jc w:val="both"/>
        <w:rPr>
          <w:rFonts w:ascii="Times New Roman" w:hAnsi="Times New Roman" w:eastAsia="Calibri" w:cs="Times New Roman"/>
          <w:sz w:val="22"/>
          <w:szCs w:val="22"/>
        </w:rPr>
      </w:pPr>
      <w:r>
        <w:rPr>
          <w:rFonts w:eastAsia="Calibri" w:cs="Times New Roman" w:ascii="Times New Roman" w:hAnsi="Times New Roman"/>
          <w:sz w:val="22"/>
          <w:szCs w:val="22"/>
        </w:rPr>
        <w:t>Źródło: Obliczenia SGH na podstawie danych GUS, ZUS i KAS.</w:t>
      </w:r>
    </w:p>
    <w:p>
      <w:pPr>
        <w:pStyle w:val="Standard"/>
        <w:spacing w:lineRule="auto" w:line="360"/>
        <w:jc w:val="both"/>
        <w:rPr>
          <w:rFonts w:ascii="Times New Roman" w:hAnsi="Times New Roman" w:eastAsia="Arial" w:cs="Times New Roman"/>
          <w:sz w:val="22"/>
          <w:szCs w:val="22"/>
        </w:rPr>
      </w:pPr>
      <w:r>
        <w:rPr>
          <w:rFonts w:eastAsia="Arial" w:cs="Times New Roman" w:ascii="Times New Roman" w:hAnsi="Times New Roman"/>
          <w:sz w:val="22"/>
          <w:szCs w:val="22"/>
        </w:rPr>
      </w:r>
    </w:p>
    <w:p>
      <w:pPr>
        <w:pStyle w:val="Standard"/>
        <w:spacing w:lineRule="auto" w:line="360"/>
        <w:ind w:firstLine="720"/>
        <w:jc w:val="both"/>
        <w:rPr>
          <w:rFonts w:ascii="Times New Roman" w:hAnsi="Times New Roman" w:cs="Times New Roman"/>
          <w:sz w:val="22"/>
          <w:szCs w:val="22"/>
        </w:rPr>
      </w:pPr>
      <w:r>
        <w:rPr>
          <w:rFonts w:eastAsia="Arial" w:cs="Times New Roman" w:ascii="Times New Roman" w:hAnsi="Times New Roman"/>
          <w:sz w:val="22"/>
          <w:szCs w:val="22"/>
        </w:rPr>
        <w:t>Przeciętne przychody na jednego podatnika w zależności od wielkości</w:t>
      </w:r>
      <w:r>
        <w:rPr>
          <w:rFonts w:eastAsia="Calibri" w:cs="Times New Roman" w:ascii="Times New Roman" w:hAnsi="Times New Roman"/>
          <w:sz w:val="22"/>
          <w:szCs w:val="22"/>
        </w:rPr>
        <w:t xml:space="preserve"> </w:t>
      </w:r>
      <w:r>
        <w:rPr>
          <w:rFonts w:eastAsia="Arial" w:cs="Times New Roman" w:ascii="Times New Roman" w:hAnsi="Times New Roman"/>
          <w:sz w:val="22"/>
          <w:szCs w:val="22"/>
        </w:rPr>
        <w:t>przedsiębiorstwa oraz sposobu rozliczania się przedstawiają kolejne tabele.</w:t>
      </w:r>
    </w:p>
    <w:p>
      <w:pPr>
        <w:pStyle w:val="Standard"/>
        <w:spacing w:lineRule="auto" w:line="360"/>
        <w:jc w:val="both"/>
        <w:rPr>
          <w:rFonts w:ascii="Times New Roman" w:hAnsi="Times New Roman" w:eastAsia="Calibri" w:cs="Times New Roman"/>
          <w:sz w:val="22"/>
          <w:szCs w:val="22"/>
        </w:rPr>
      </w:pPr>
      <w:r>
        <w:rPr>
          <w:rFonts w:eastAsia="Calibri" w:cs="Times New Roman" w:ascii="Times New Roman" w:hAnsi="Times New Roman"/>
          <w:sz w:val="22"/>
          <w:szCs w:val="22"/>
        </w:rPr>
      </w:r>
    </w:p>
    <w:p>
      <w:pPr>
        <w:pStyle w:val="Caption"/>
        <w:spacing w:lineRule="auto" w:line="360" w:before="0" w:after="0"/>
        <w:rPr>
          <w:rFonts w:ascii="Times New Roman" w:hAnsi="Times New Roman" w:cs="Times New Roman"/>
          <w:color w:val="auto"/>
        </w:rPr>
      </w:pPr>
      <w:r>
        <w:rPr>
          <w:rFonts w:cs="Times New Roman" w:ascii="Times New Roman" w:hAnsi="Times New Roman"/>
          <w:color w:val="auto"/>
        </w:rPr>
        <w:t>Tabela 15. Przeciętne przychody przypadające na jednego podatnika w 2018 r. w gminie</w:t>
      </w:r>
    </w:p>
    <w:p>
      <w:pPr>
        <w:pStyle w:val="Standard"/>
        <w:spacing w:lineRule="auto" w:line="360"/>
        <w:jc w:val="center"/>
        <w:rPr>
          <w:rFonts w:ascii="Times New Roman" w:hAnsi="Times New Roman" w:cs="Times New Roman"/>
          <w:sz w:val="22"/>
          <w:szCs w:val="22"/>
        </w:rPr>
      </w:pPr>
      <w:r>
        <w:rPr/>
        <w:drawing>
          <wp:inline distT="0" distB="0" distL="0" distR="0">
            <wp:extent cx="5733415" cy="1889125"/>
            <wp:effectExtent l="0" t="0" r="0" b="0"/>
            <wp:docPr id="21" name="Obraz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3" descr=""/>
                    <pic:cNvPicPr>
                      <a:picLocks noChangeAspect="1" noChangeArrowheads="1"/>
                    </pic:cNvPicPr>
                  </pic:nvPicPr>
                  <pic:blipFill>
                    <a:blip r:embed="rId22"/>
                    <a:stretch>
                      <a:fillRect/>
                    </a:stretch>
                  </pic:blipFill>
                  <pic:spPr bwMode="auto">
                    <a:xfrm>
                      <a:off x="0" y="0"/>
                      <a:ext cx="5733415" cy="1889125"/>
                    </a:xfrm>
                    <a:prstGeom prst="rect">
                      <a:avLst/>
                    </a:prstGeom>
                  </pic:spPr>
                </pic:pic>
              </a:graphicData>
            </a:graphic>
          </wp:inline>
        </w:drawing>
      </w:r>
    </w:p>
    <w:p>
      <w:pPr>
        <w:pStyle w:val="Standard"/>
        <w:spacing w:lineRule="auto" w:line="360"/>
        <w:jc w:val="both"/>
        <w:rPr>
          <w:rFonts w:ascii="Times New Roman" w:hAnsi="Times New Roman" w:eastAsia="Calibri" w:cs="Times New Roman"/>
          <w:sz w:val="22"/>
          <w:szCs w:val="22"/>
        </w:rPr>
      </w:pPr>
      <w:r>
        <w:rPr>
          <w:rFonts w:eastAsia="Calibri" w:cs="Times New Roman" w:ascii="Times New Roman" w:hAnsi="Times New Roman"/>
          <w:sz w:val="22"/>
          <w:szCs w:val="22"/>
        </w:rPr>
        <w:t>Źródło: Obliczenia SGH na podstawie danych GUS, ZUS i KAS.</w:t>
      </w:r>
    </w:p>
    <w:p>
      <w:pPr>
        <w:pStyle w:val="Caption"/>
        <w:spacing w:lineRule="auto" w:line="360" w:before="0" w:after="0"/>
        <w:rPr>
          <w:rFonts w:ascii="Times New Roman" w:hAnsi="Times New Roman" w:cs="Times New Roman"/>
          <w:color w:val="auto"/>
        </w:rPr>
      </w:pPr>
      <w:r>
        <w:rPr>
          <w:rFonts w:cs="Times New Roman" w:ascii="Times New Roman" w:hAnsi="Times New Roman"/>
          <w:color w:val="auto"/>
        </w:rPr>
        <w:t>Tabela 16. Przeciętne przychody przypadające na jednego podatnika w porównaniu do średniej w danym typie gminy</w:t>
      </w:r>
    </w:p>
    <w:p>
      <w:pPr>
        <w:pStyle w:val="Standard"/>
        <w:spacing w:lineRule="auto" w:line="360"/>
        <w:jc w:val="center"/>
        <w:rPr>
          <w:rFonts w:ascii="Times New Roman" w:hAnsi="Times New Roman" w:cs="Times New Roman"/>
          <w:sz w:val="22"/>
          <w:szCs w:val="22"/>
        </w:rPr>
      </w:pPr>
      <w:r>
        <w:rPr/>
        <w:drawing>
          <wp:inline distT="0" distB="0" distL="0" distR="0">
            <wp:extent cx="4305300" cy="1647825"/>
            <wp:effectExtent l="0" t="0" r="0" b="0"/>
            <wp:docPr id="22" name="Obraz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5" descr=""/>
                    <pic:cNvPicPr>
                      <a:picLocks noChangeAspect="1" noChangeArrowheads="1"/>
                    </pic:cNvPicPr>
                  </pic:nvPicPr>
                  <pic:blipFill>
                    <a:blip r:embed="rId23"/>
                    <a:stretch>
                      <a:fillRect/>
                    </a:stretch>
                  </pic:blipFill>
                  <pic:spPr bwMode="auto">
                    <a:xfrm>
                      <a:off x="0" y="0"/>
                      <a:ext cx="4305300" cy="1647825"/>
                    </a:xfrm>
                    <a:prstGeom prst="rect">
                      <a:avLst/>
                    </a:prstGeom>
                  </pic:spPr>
                </pic:pic>
              </a:graphicData>
            </a:graphic>
          </wp:inline>
        </w:drawing>
      </w:r>
    </w:p>
    <w:p>
      <w:pPr>
        <w:pStyle w:val="Standard"/>
        <w:spacing w:lineRule="auto" w:line="360"/>
        <w:jc w:val="both"/>
        <w:rPr>
          <w:rFonts w:ascii="Times New Roman" w:hAnsi="Times New Roman" w:eastAsia="Calibri" w:cs="Times New Roman"/>
          <w:sz w:val="22"/>
          <w:szCs w:val="22"/>
        </w:rPr>
      </w:pPr>
      <w:r>
        <w:rPr>
          <w:rFonts w:eastAsia="Calibri" w:cs="Times New Roman" w:ascii="Times New Roman" w:hAnsi="Times New Roman"/>
          <w:sz w:val="22"/>
          <w:szCs w:val="22"/>
        </w:rPr>
        <w:t>Źródło: Obliczenia SGH na podstawie danych GUS, ZUS i KAS.</w:t>
      </w:r>
    </w:p>
    <w:p>
      <w:pPr>
        <w:pStyle w:val="Standard"/>
        <w:spacing w:lineRule="auto" w:line="360"/>
        <w:jc w:val="both"/>
        <w:rPr>
          <w:rFonts w:ascii="Times New Roman" w:hAnsi="Times New Roman" w:eastAsia="Calibri" w:cs="Times New Roman"/>
          <w:sz w:val="22"/>
          <w:szCs w:val="22"/>
        </w:rPr>
      </w:pPr>
      <w:r>
        <w:rPr>
          <w:rFonts w:eastAsia="Calibri" w:cs="Times New Roman" w:ascii="Times New Roman" w:hAnsi="Times New Roman"/>
          <w:sz w:val="22"/>
          <w:szCs w:val="22"/>
        </w:rPr>
      </w:r>
    </w:p>
    <w:p>
      <w:pPr>
        <w:pStyle w:val="Caption"/>
        <w:spacing w:lineRule="auto" w:line="360" w:before="0" w:after="0"/>
        <w:jc w:val="both"/>
        <w:rPr>
          <w:rFonts w:ascii="Times New Roman" w:hAnsi="Times New Roman" w:cs="Times New Roman"/>
          <w:color w:val="auto"/>
        </w:rPr>
      </w:pPr>
      <w:r>
        <w:rPr>
          <w:rFonts w:cs="Times New Roman" w:ascii="Times New Roman" w:hAnsi="Times New Roman"/>
          <w:color w:val="auto"/>
        </w:rPr>
        <w:t>Tabela 17. Przeciętne przychody przypadające na jednego podatnika w porównaniu do średniej w województwie kujawsko-pomorskim</w:t>
      </w:r>
    </w:p>
    <w:p>
      <w:pPr>
        <w:pStyle w:val="Standard"/>
        <w:spacing w:lineRule="auto" w:line="360"/>
        <w:jc w:val="center"/>
        <w:rPr>
          <w:rFonts w:ascii="Times New Roman" w:hAnsi="Times New Roman" w:cs="Times New Roman"/>
          <w:sz w:val="22"/>
          <w:szCs w:val="22"/>
        </w:rPr>
      </w:pPr>
      <w:r>
        <w:rPr/>
        <w:drawing>
          <wp:inline distT="0" distB="0" distL="0" distR="0">
            <wp:extent cx="4305300" cy="1647825"/>
            <wp:effectExtent l="0" t="0" r="0" b="0"/>
            <wp:docPr id="23" name="Obraz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6" descr=""/>
                    <pic:cNvPicPr>
                      <a:picLocks noChangeAspect="1" noChangeArrowheads="1"/>
                    </pic:cNvPicPr>
                  </pic:nvPicPr>
                  <pic:blipFill>
                    <a:blip r:embed="rId24"/>
                    <a:stretch>
                      <a:fillRect/>
                    </a:stretch>
                  </pic:blipFill>
                  <pic:spPr bwMode="auto">
                    <a:xfrm>
                      <a:off x="0" y="0"/>
                      <a:ext cx="4305300" cy="1647825"/>
                    </a:xfrm>
                    <a:prstGeom prst="rect">
                      <a:avLst/>
                    </a:prstGeom>
                  </pic:spPr>
                </pic:pic>
              </a:graphicData>
            </a:graphic>
          </wp:inline>
        </w:drawing>
      </w:r>
    </w:p>
    <w:p>
      <w:pPr>
        <w:pStyle w:val="Standard"/>
        <w:spacing w:lineRule="auto" w:line="360"/>
        <w:jc w:val="both"/>
        <w:rPr>
          <w:rFonts w:ascii="Times New Roman" w:hAnsi="Times New Roman" w:eastAsia="Calibri" w:cs="Times New Roman"/>
          <w:sz w:val="22"/>
          <w:szCs w:val="22"/>
        </w:rPr>
      </w:pPr>
      <w:r>
        <w:rPr>
          <w:rFonts w:eastAsia="Calibri" w:cs="Times New Roman" w:ascii="Times New Roman" w:hAnsi="Times New Roman"/>
          <w:sz w:val="22"/>
          <w:szCs w:val="22"/>
        </w:rPr>
        <w:t>Źródło: Obliczenia SGH na podstawie danych GUS, ZUS i KAS.</w:t>
      </w:r>
    </w:p>
    <w:p>
      <w:pPr>
        <w:pStyle w:val="Standard"/>
        <w:spacing w:lineRule="auto" w:line="360"/>
        <w:jc w:val="both"/>
        <w:rPr>
          <w:rFonts w:ascii="Times New Roman" w:hAnsi="Times New Roman" w:eastAsia="Calibri" w:cs="Times New Roman"/>
          <w:sz w:val="22"/>
          <w:szCs w:val="22"/>
        </w:rPr>
      </w:pPr>
      <w:r>
        <w:rPr>
          <w:rFonts w:eastAsia="Calibri" w:cs="Times New Roman" w:ascii="Times New Roman" w:hAnsi="Times New Roman"/>
          <w:sz w:val="22"/>
          <w:szCs w:val="22"/>
        </w:rPr>
      </w:r>
    </w:p>
    <w:p>
      <w:pPr>
        <w:pStyle w:val="Standard"/>
        <w:spacing w:lineRule="auto" w:line="360"/>
        <w:jc w:val="both"/>
        <w:rPr>
          <w:rFonts w:ascii="Times New Roman" w:hAnsi="Times New Roman" w:eastAsia="Calibri" w:cs="Times New Roman"/>
          <w:sz w:val="22"/>
          <w:szCs w:val="22"/>
        </w:rPr>
      </w:pPr>
      <w:r>
        <w:rPr>
          <w:rFonts w:eastAsia="Calibri" w:cs="Times New Roman" w:ascii="Times New Roman" w:hAnsi="Times New Roman"/>
          <w:sz w:val="22"/>
          <w:szCs w:val="22"/>
        </w:rPr>
      </w:r>
    </w:p>
    <w:p>
      <w:pPr>
        <w:pStyle w:val="Standard"/>
        <w:spacing w:lineRule="auto" w:line="360"/>
        <w:jc w:val="both"/>
        <w:rPr>
          <w:rFonts w:ascii="Times New Roman" w:hAnsi="Times New Roman" w:eastAsia="Calibri" w:cs="Times New Roman"/>
          <w:sz w:val="22"/>
          <w:szCs w:val="22"/>
        </w:rPr>
      </w:pPr>
      <w:r>
        <w:rPr>
          <w:rFonts w:eastAsia="Calibri" w:cs="Times New Roman" w:ascii="Times New Roman" w:hAnsi="Times New Roman"/>
          <w:sz w:val="22"/>
          <w:szCs w:val="22"/>
        </w:rPr>
      </w:r>
    </w:p>
    <w:p>
      <w:pPr>
        <w:pStyle w:val="Standard"/>
        <w:spacing w:lineRule="auto" w:line="360"/>
        <w:jc w:val="both"/>
        <w:rPr>
          <w:rFonts w:ascii="Times New Roman" w:hAnsi="Times New Roman" w:eastAsia="Calibri" w:cs="Times New Roman"/>
          <w:sz w:val="22"/>
          <w:szCs w:val="22"/>
        </w:rPr>
      </w:pPr>
      <w:r>
        <w:rPr>
          <w:rFonts w:eastAsia="Calibri" w:cs="Times New Roman" w:ascii="Times New Roman" w:hAnsi="Times New Roman"/>
          <w:sz w:val="22"/>
          <w:szCs w:val="22"/>
        </w:rPr>
      </w:r>
    </w:p>
    <w:p>
      <w:pPr>
        <w:pStyle w:val="Standard"/>
        <w:spacing w:lineRule="auto" w:line="360"/>
        <w:jc w:val="both"/>
        <w:rPr>
          <w:rFonts w:ascii="Times New Roman" w:hAnsi="Times New Roman" w:eastAsia="Calibri" w:cs="Times New Roman"/>
          <w:sz w:val="22"/>
          <w:szCs w:val="22"/>
        </w:rPr>
      </w:pPr>
      <w:r>
        <w:rPr>
          <w:rFonts w:eastAsia="Calibri" w:cs="Times New Roman" w:ascii="Times New Roman" w:hAnsi="Times New Roman"/>
          <w:sz w:val="22"/>
          <w:szCs w:val="22"/>
        </w:rPr>
      </w:r>
    </w:p>
    <w:p>
      <w:pPr>
        <w:pStyle w:val="Standard"/>
        <w:spacing w:lineRule="auto" w:line="360"/>
        <w:jc w:val="both"/>
        <w:rPr>
          <w:rFonts w:ascii="Times New Roman" w:hAnsi="Times New Roman" w:eastAsia="Calibri" w:cs="Times New Roman"/>
          <w:sz w:val="22"/>
          <w:szCs w:val="22"/>
        </w:rPr>
      </w:pPr>
      <w:r>
        <w:rPr>
          <w:rFonts w:eastAsia="Calibri" w:cs="Times New Roman" w:ascii="Times New Roman" w:hAnsi="Times New Roman"/>
          <w:sz w:val="22"/>
          <w:szCs w:val="22"/>
        </w:rPr>
      </w:r>
    </w:p>
    <w:p>
      <w:pPr>
        <w:pStyle w:val="Nagwek1"/>
        <w:rPr>
          <w:rFonts w:ascii="Times New Roman" w:hAnsi="Times New Roman" w:cs="Times New Roman"/>
        </w:rPr>
      </w:pPr>
      <w:bookmarkStart w:id="32" w:name="_Toc85228970"/>
      <w:r>
        <w:rPr>
          <w:rFonts w:cs="Times New Roman" w:ascii="Times New Roman" w:hAnsi="Times New Roman"/>
        </w:rPr>
        <w:t>Rozdział 2. Analiza SWOT</w:t>
      </w:r>
      <w:bookmarkEnd w:id="32"/>
    </w:p>
    <w:p>
      <w:pPr>
        <w:pStyle w:val="Standard"/>
        <w:spacing w:lineRule="auto" w:line="360"/>
        <w:rPr>
          <w:rFonts w:ascii="Times New Roman" w:hAnsi="Times New Roman" w:cs="Times New Roman"/>
          <w:sz w:val="22"/>
          <w:szCs w:val="22"/>
        </w:rPr>
      </w:pPr>
      <w:r>
        <w:rPr>
          <w:rFonts w:cs="Times New Roman" w:ascii="Times New Roman" w:hAnsi="Times New Roman"/>
          <w:sz w:val="22"/>
          <w:szCs w:val="22"/>
        </w:rPr>
      </w:r>
    </w:p>
    <w:p>
      <w:pPr>
        <w:pStyle w:val="Standard"/>
        <w:spacing w:lineRule="auto" w:line="360"/>
        <w:jc w:val="both"/>
        <w:rPr>
          <w:rFonts w:ascii="Times New Roman" w:hAnsi="Times New Roman" w:cs="Times New Roman"/>
          <w:sz w:val="22"/>
          <w:szCs w:val="22"/>
        </w:rPr>
      </w:pPr>
      <w:r>
        <w:rPr>
          <w:rFonts w:cs="Times New Roman" w:ascii="Times New Roman" w:hAnsi="Times New Roman"/>
          <w:sz w:val="22"/>
          <w:szCs w:val="22"/>
        </w:rPr>
        <w:t>Posługując się ustaleniami diagnozy sytuacji społeczno-gospodarczej w Gminie Choceń oraz wynikam przeprowadzonych konsultacji wśród lokalnych przedsiębiorców,przeprowadzono analizę strategiczną przy użyciu analizy SWOT. Metoda ta jest jedną z najpopularniejszych i najskuteczniejszych technik analitycznych służących diagnozie sytuacji, w jakiej znajduje się jednostka samorządowa. Służy zebraniu i uszeregowaniu informacji, stanowiących niezbędną pomoc przy dokonywaniu oceny zasobów i otoczenia jednostki samorządu terytorialnego, ułatwia też identyfikację problemów i określenie priorytetów rozwoju. Mocne i słabe strony odnoszą się do czynników wewnętrznych, na które ma wpływ władza lokalna i społeczność. Szanse i zagrożenia odnoszą się do czynników zewnętrznych, umiejscowionych w bliższym i dalszym otoczeniu gminy, są niezależne od władz lokalnych i mieszkańców.</w:t>
      </w:r>
    </w:p>
    <w:p>
      <w:pPr>
        <w:pStyle w:val="Standard"/>
        <w:spacing w:lineRule="auto" w:line="360"/>
        <w:ind w:left="720" w:hanging="0"/>
        <w:rPr>
          <w:rFonts w:ascii="Times New Roman" w:hAnsi="Times New Roman" w:cs="Times New Roman"/>
          <w:sz w:val="22"/>
          <w:szCs w:val="22"/>
        </w:rPr>
      </w:pPr>
      <w:r>
        <w:rPr>
          <w:rFonts w:cs="Times New Roman" w:ascii="Times New Roman" w:hAnsi="Times New Roman"/>
          <w:sz w:val="22"/>
          <w:szCs w:val="22"/>
        </w:rPr>
      </w:r>
    </w:p>
    <w:tbl>
      <w:tblPr>
        <w:tblW w:w="9639" w:type="dxa"/>
        <w:jc w:val="left"/>
        <w:tblInd w:w="284" w:type="dxa"/>
        <w:tblLayout w:type="fixed"/>
        <w:tblCellMar>
          <w:top w:w="0" w:type="dxa"/>
          <w:left w:w="108" w:type="dxa"/>
          <w:bottom w:w="0" w:type="dxa"/>
          <w:right w:w="108" w:type="dxa"/>
        </w:tblCellMar>
        <w:tblLook w:firstRow="1" w:noVBand="1" w:lastRow="0" w:firstColumn="1" w:lastColumn="0" w:noHBand="0" w:val="04a0"/>
      </w:tblPr>
      <w:tblGrid>
        <w:gridCol w:w="4614"/>
        <w:gridCol w:w="5024"/>
      </w:tblGrid>
      <w:tr>
        <w:trPr/>
        <w:tc>
          <w:tcPr>
            <w:tcW w:w="4614" w:type="dxa"/>
            <w:tcBorders>
              <w:top w:val="single" w:sz="4" w:space="0" w:color="000000"/>
              <w:left w:val="single" w:sz="4" w:space="0" w:color="000000"/>
              <w:bottom w:val="single" w:sz="4" w:space="0" w:color="000000"/>
              <w:right w:val="single" w:sz="4" w:space="0" w:color="000000"/>
            </w:tcBorders>
          </w:tcPr>
          <w:p>
            <w:pPr>
              <w:pStyle w:val="Standard"/>
              <w:widowControl w:val="false"/>
              <w:spacing w:lineRule="auto" w:line="360"/>
              <w:rPr>
                <w:rFonts w:ascii="Times New Roman" w:hAnsi="Times New Roman" w:cs="Times New Roman"/>
                <w:b/>
                <w:b/>
                <w:bCs/>
                <w:kern w:val="0"/>
                <w:sz w:val="22"/>
                <w:szCs w:val="22"/>
                <w:lang w:eastAsia="pl-PL" w:bidi="ar-SA"/>
              </w:rPr>
            </w:pPr>
            <w:r>
              <w:rPr>
                <w:rFonts w:cs="Times New Roman" w:ascii="Times New Roman" w:hAnsi="Times New Roman"/>
                <w:b/>
                <w:bCs/>
                <w:kern w:val="0"/>
                <w:sz w:val="22"/>
                <w:szCs w:val="22"/>
                <w:lang w:eastAsia="pl-PL" w:bidi="ar-SA"/>
              </w:rPr>
              <w:t>Mocne strony gminy:</w:t>
            </w:r>
          </w:p>
          <w:p>
            <w:pPr>
              <w:pStyle w:val="Standard"/>
              <w:widowControl w:val="false"/>
              <w:spacing w:lineRule="auto" w:line="360"/>
              <w:rPr>
                <w:rFonts w:ascii="Times New Roman" w:hAnsi="Times New Roman" w:cs="Times New Roman"/>
                <w:kern w:val="0"/>
                <w:sz w:val="22"/>
                <w:szCs w:val="22"/>
                <w:lang w:eastAsia="pl-PL" w:bidi="ar-SA"/>
              </w:rPr>
            </w:pPr>
            <w:r>
              <w:rPr>
                <w:rFonts w:cs="Times New Roman" w:ascii="Times New Roman" w:hAnsi="Times New Roman"/>
                <w:kern w:val="0"/>
                <w:sz w:val="22"/>
                <w:szCs w:val="22"/>
                <w:lang w:eastAsia="pl-PL" w:bidi="ar-SA"/>
              </w:rPr>
              <w:t>- lokalizacja</w:t>
            </w:r>
          </w:p>
          <w:p>
            <w:pPr>
              <w:pStyle w:val="Standard"/>
              <w:widowControl w:val="false"/>
              <w:spacing w:lineRule="auto" w:line="360"/>
              <w:rPr>
                <w:rFonts w:ascii="Times New Roman" w:hAnsi="Times New Roman" w:cs="Times New Roman"/>
                <w:sz w:val="22"/>
                <w:szCs w:val="22"/>
              </w:rPr>
            </w:pPr>
            <w:r>
              <w:rPr>
                <w:rFonts w:cs="Times New Roman" w:ascii="Times New Roman" w:hAnsi="Times New Roman"/>
                <w:kern w:val="0"/>
                <w:sz w:val="22"/>
                <w:szCs w:val="22"/>
                <w:lang w:eastAsia="pl-PL" w:bidi="ar-SA"/>
              </w:rPr>
              <w:t>południowo-wschodnia części województwa kujawsko-pomorskiego, nad jeziorem Borzymowskim, które cieszy się dużą popularnością wśród osób z zewnątrz gminy, niedaleko Włocławka;</w:t>
            </w:r>
          </w:p>
          <w:p>
            <w:pPr>
              <w:pStyle w:val="Standard"/>
              <w:widowControl w:val="false"/>
              <w:spacing w:lineRule="auto" w:line="360"/>
              <w:rPr>
                <w:rFonts w:ascii="Times New Roman" w:hAnsi="Times New Roman" w:cs="Times New Roman"/>
                <w:kern w:val="0"/>
                <w:sz w:val="22"/>
                <w:szCs w:val="22"/>
                <w:lang w:eastAsia="pl-PL" w:bidi="ar-SA"/>
              </w:rPr>
            </w:pPr>
            <w:r>
              <w:rPr>
                <w:rFonts w:cs="Times New Roman" w:ascii="Times New Roman" w:hAnsi="Times New Roman"/>
                <w:kern w:val="0"/>
                <w:sz w:val="22"/>
                <w:szCs w:val="22"/>
                <w:lang w:eastAsia="pl-PL" w:bidi="ar-SA"/>
              </w:rPr>
              <w:t>- współpraca z interesariuszami</w:t>
            </w:r>
          </w:p>
          <w:p>
            <w:pPr>
              <w:pStyle w:val="Standard"/>
              <w:widowControl w:val="false"/>
              <w:spacing w:lineRule="auto" w:line="360"/>
              <w:jc w:val="both"/>
              <w:rPr>
                <w:rFonts w:ascii="Times New Roman" w:hAnsi="Times New Roman" w:cs="Times New Roman"/>
                <w:kern w:val="0"/>
                <w:sz w:val="22"/>
                <w:szCs w:val="22"/>
                <w:lang w:eastAsia="pl-PL" w:bidi="ar-SA"/>
              </w:rPr>
            </w:pPr>
            <w:r>
              <w:rPr>
                <w:rFonts w:cs="Times New Roman" w:ascii="Times New Roman" w:hAnsi="Times New Roman"/>
                <w:kern w:val="0"/>
                <w:sz w:val="22"/>
                <w:szCs w:val="22"/>
                <w:lang w:eastAsia="pl-PL" w:bidi="ar-SA"/>
              </w:rPr>
              <w:t>otwartość na propozycje i pomysły, udzielanie wsparcia finansowego i merytorycznego, niemal indywidualne podejście do każdego mieszkańca, gmina angażuje się również i jest przyjazna dla rozwoju ośrodka „Oaza” ;</w:t>
            </w:r>
          </w:p>
          <w:p>
            <w:pPr>
              <w:pStyle w:val="Standard"/>
              <w:widowControl w:val="false"/>
              <w:spacing w:lineRule="auto" w:line="360"/>
              <w:rPr>
                <w:rFonts w:ascii="Times New Roman" w:hAnsi="Times New Roman" w:cs="Times New Roman"/>
                <w:kern w:val="0"/>
                <w:sz w:val="22"/>
                <w:szCs w:val="22"/>
                <w:lang w:eastAsia="pl-PL" w:bidi="ar-SA"/>
              </w:rPr>
            </w:pPr>
            <w:r>
              <w:rPr>
                <w:rFonts w:cs="Times New Roman" w:ascii="Times New Roman" w:hAnsi="Times New Roman"/>
                <w:kern w:val="0"/>
                <w:sz w:val="22"/>
                <w:szCs w:val="22"/>
                <w:lang w:eastAsia="pl-PL" w:bidi="ar-SA"/>
              </w:rPr>
              <w:t>- edukacja</w:t>
            </w:r>
          </w:p>
          <w:p>
            <w:pPr>
              <w:pStyle w:val="Standard"/>
              <w:widowControl w:val="false"/>
              <w:spacing w:lineRule="auto" w:line="360"/>
              <w:jc w:val="both"/>
              <w:rPr>
                <w:rFonts w:ascii="Times New Roman" w:hAnsi="Times New Roman" w:cs="Times New Roman"/>
                <w:sz w:val="22"/>
                <w:szCs w:val="22"/>
              </w:rPr>
            </w:pPr>
            <w:r>
              <w:rPr>
                <w:rFonts w:cs="Times New Roman" w:ascii="Times New Roman" w:hAnsi="Times New Roman"/>
                <w:kern w:val="0"/>
                <w:sz w:val="22"/>
                <w:szCs w:val="22"/>
                <w:lang w:eastAsia="pl-PL" w:bidi="ar-SA"/>
              </w:rPr>
              <w:t>społeczne liceum ogólnokształcące i społeczna branżowa szkoła zawodowa, utworzona jako pierwsza szkoła średnia w powiecie na terenie wiejskim (przez Towarzystwo Kultury, Edukacji i Promocji Gminy Choceń). W szkole uczy się młodzież z gminy ale również spoza województwa. Na terenie gminy funkcjonuje również wieczorowe liceum (Społeczne Zaoczne Liceum Ogólnokształcące Dla Dorosłych W Choceniu) dla osób chcących uzupełnić swoje wykształcenie. W większości jednak młodzież dojeżdża do szkół średnich we Włocławku;</w:t>
            </w:r>
          </w:p>
          <w:p>
            <w:pPr>
              <w:pStyle w:val="Standard"/>
              <w:widowControl w:val="false"/>
              <w:spacing w:lineRule="auto" w:line="360"/>
              <w:rPr>
                <w:rFonts w:ascii="Times New Roman" w:hAnsi="Times New Roman" w:cs="Times New Roman"/>
                <w:kern w:val="0"/>
                <w:sz w:val="22"/>
                <w:szCs w:val="22"/>
                <w:lang w:eastAsia="pl-PL" w:bidi="ar-SA"/>
              </w:rPr>
            </w:pPr>
            <w:r>
              <w:rPr>
                <w:rFonts w:cs="Times New Roman" w:ascii="Times New Roman" w:hAnsi="Times New Roman"/>
                <w:kern w:val="0"/>
                <w:sz w:val="22"/>
                <w:szCs w:val="22"/>
                <w:lang w:eastAsia="pl-PL" w:bidi="ar-SA"/>
              </w:rPr>
              <w:t>- mała liczba mieszkańców – poniżej 8 tys.,</w:t>
            </w:r>
          </w:p>
          <w:p>
            <w:pPr>
              <w:pStyle w:val="Standard"/>
              <w:widowControl w:val="false"/>
              <w:spacing w:lineRule="auto" w:line="360"/>
              <w:rPr>
                <w:rFonts w:ascii="Times New Roman" w:hAnsi="Times New Roman" w:cs="Times New Roman"/>
                <w:kern w:val="0"/>
                <w:sz w:val="22"/>
                <w:szCs w:val="22"/>
                <w:lang w:eastAsia="pl-PL" w:bidi="ar-SA"/>
              </w:rPr>
            </w:pPr>
            <w:r>
              <w:rPr>
                <w:rFonts w:cs="Times New Roman" w:ascii="Times New Roman" w:hAnsi="Times New Roman"/>
                <w:kern w:val="0"/>
                <w:sz w:val="22"/>
                <w:szCs w:val="22"/>
                <w:lang w:eastAsia="pl-PL" w:bidi="ar-SA"/>
              </w:rPr>
              <w:t>- duże nakłady finansowe na budowę dróg,</w:t>
            </w:r>
          </w:p>
          <w:p>
            <w:pPr>
              <w:pStyle w:val="Standard"/>
              <w:widowControl w:val="false"/>
              <w:spacing w:lineRule="auto" w:line="360"/>
              <w:jc w:val="both"/>
              <w:rPr>
                <w:rFonts w:ascii="Times New Roman" w:hAnsi="Times New Roman" w:cs="Times New Roman"/>
                <w:kern w:val="0"/>
                <w:sz w:val="22"/>
                <w:szCs w:val="22"/>
                <w:lang w:eastAsia="pl-PL" w:bidi="ar-SA"/>
              </w:rPr>
            </w:pPr>
            <w:r>
              <w:rPr>
                <w:rFonts w:cs="Times New Roman" w:ascii="Times New Roman" w:hAnsi="Times New Roman"/>
                <w:kern w:val="0"/>
                <w:sz w:val="22"/>
                <w:szCs w:val="22"/>
                <w:lang w:eastAsia="pl-PL" w:bidi="ar-SA"/>
              </w:rPr>
              <w:t>- przygotowane, uzbrojone tereny pod inwestycje,</w:t>
            </w:r>
          </w:p>
          <w:p>
            <w:pPr>
              <w:pStyle w:val="Standard"/>
              <w:widowControl w:val="false"/>
              <w:spacing w:lineRule="auto" w:line="360"/>
              <w:rPr>
                <w:rFonts w:ascii="Times New Roman" w:hAnsi="Times New Roman" w:cs="Times New Roman"/>
                <w:kern w:val="0"/>
                <w:sz w:val="22"/>
                <w:szCs w:val="22"/>
                <w:lang w:eastAsia="pl-PL" w:bidi="ar-SA"/>
              </w:rPr>
            </w:pPr>
            <w:r>
              <w:rPr>
                <w:rFonts w:cs="Times New Roman" w:ascii="Times New Roman" w:hAnsi="Times New Roman"/>
                <w:kern w:val="0"/>
                <w:sz w:val="22"/>
                <w:szCs w:val="22"/>
                <w:lang w:eastAsia="pl-PL" w:bidi="ar-SA"/>
              </w:rPr>
              <w:t>- wykorzystanie środków unijnych.</w:t>
            </w:r>
          </w:p>
        </w:tc>
        <w:tc>
          <w:tcPr>
            <w:tcW w:w="5024" w:type="dxa"/>
            <w:tcBorders>
              <w:top w:val="single" w:sz="4" w:space="0" w:color="000000"/>
              <w:left w:val="single" w:sz="4" w:space="0" w:color="000000"/>
              <w:bottom w:val="single" w:sz="4" w:space="0" w:color="000000"/>
              <w:right w:val="single" w:sz="4" w:space="0" w:color="000000"/>
            </w:tcBorders>
          </w:tcPr>
          <w:p>
            <w:pPr>
              <w:pStyle w:val="Standard"/>
              <w:widowControl w:val="false"/>
              <w:spacing w:lineRule="auto" w:line="360"/>
              <w:rPr>
                <w:rFonts w:ascii="Times New Roman" w:hAnsi="Times New Roman" w:cs="Times New Roman"/>
                <w:b/>
                <w:b/>
                <w:bCs/>
                <w:kern w:val="0"/>
                <w:sz w:val="22"/>
                <w:szCs w:val="22"/>
                <w:lang w:eastAsia="pl-PL" w:bidi="ar-SA"/>
              </w:rPr>
            </w:pPr>
            <w:r>
              <w:rPr>
                <w:rFonts w:cs="Times New Roman" w:ascii="Times New Roman" w:hAnsi="Times New Roman"/>
                <w:b/>
                <w:bCs/>
                <w:kern w:val="0"/>
                <w:sz w:val="22"/>
                <w:szCs w:val="22"/>
                <w:lang w:eastAsia="pl-PL" w:bidi="ar-SA"/>
              </w:rPr>
              <w:t>Słabe strony gminy:</w:t>
            </w:r>
          </w:p>
          <w:p>
            <w:pPr>
              <w:pStyle w:val="Standard"/>
              <w:widowControl w:val="false"/>
              <w:spacing w:lineRule="auto" w:line="360"/>
              <w:rPr>
                <w:rFonts w:ascii="Times New Roman" w:hAnsi="Times New Roman" w:cs="Times New Roman"/>
                <w:kern w:val="0"/>
                <w:sz w:val="22"/>
                <w:szCs w:val="22"/>
                <w:lang w:eastAsia="pl-PL" w:bidi="ar-SA"/>
              </w:rPr>
            </w:pPr>
            <w:r>
              <w:rPr>
                <w:rFonts w:cs="Times New Roman" w:ascii="Times New Roman" w:hAnsi="Times New Roman"/>
                <w:kern w:val="0"/>
                <w:sz w:val="22"/>
                <w:szCs w:val="22"/>
                <w:lang w:eastAsia="pl-PL" w:bidi="ar-SA"/>
              </w:rPr>
              <w:t>- bardzo dużo małych i średnich firm,</w:t>
            </w:r>
          </w:p>
          <w:p>
            <w:pPr>
              <w:pStyle w:val="Standard"/>
              <w:widowControl w:val="false"/>
              <w:spacing w:lineRule="auto" w:line="360"/>
              <w:rPr>
                <w:rFonts w:ascii="Times New Roman" w:hAnsi="Times New Roman" w:cs="Times New Roman"/>
                <w:sz w:val="22"/>
                <w:szCs w:val="22"/>
              </w:rPr>
            </w:pPr>
            <w:r>
              <w:rPr>
                <w:rFonts w:cs="Times New Roman" w:ascii="Times New Roman" w:hAnsi="Times New Roman"/>
                <w:kern w:val="0"/>
                <w:sz w:val="22"/>
                <w:szCs w:val="22"/>
                <w:lang w:eastAsia="pl-PL" w:bidi="ar-SA"/>
              </w:rPr>
              <w:t>większość mieszkańców musi dojeżdżać do pracy (najczęściej własnym środkiem transportu);</w:t>
            </w:r>
          </w:p>
          <w:p>
            <w:pPr>
              <w:pStyle w:val="Standard"/>
              <w:widowControl w:val="false"/>
              <w:spacing w:lineRule="auto" w:line="360"/>
              <w:rPr>
                <w:rFonts w:ascii="Times New Roman" w:hAnsi="Times New Roman" w:cs="Times New Roman"/>
                <w:kern w:val="0"/>
                <w:sz w:val="22"/>
                <w:szCs w:val="22"/>
                <w:lang w:eastAsia="pl-PL" w:bidi="ar-SA"/>
              </w:rPr>
            </w:pPr>
            <w:r>
              <w:rPr>
                <w:rFonts w:cs="Times New Roman" w:ascii="Times New Roman" w:hAnsi="Times New Roman"/>
                <w:kern w:val="0"/>
                <w:sz w:val="22"/>
                <w:szCs w:val="22"/>
                <w:lang w:eastAsia="pl-PL" w:bidi="ar-SA"/>
              </w:rPr>
              <w:t>- brak gazociągu;</w:t>
            </w:r>
          </w:p>
          <w:p>
            <w:pPr>
              <w:pStyle w:val="Standard"/>
              <w:widowControl w:val="false"/>
              <w:spacing w:lineRule="auto" w:line="360"/>
              <w:rPr>
                <w:rFonts w:ascii="Times New Roman" w:hAnsi="Times New Roman" w:cs="Times New Roman"/>
                <w:kern w:val="0"/>
                <w:sz w:val="22"/>
                <w:szCs w:val="22"/>
                <w:lang w:eastAsia="pl-PL" w:bidi="ar-SA"/>
              </w:rPr>
            </w:pPr>
            <w:r>
              <w:rPr>
                <w:rFonts w:cs="Times New Roman" w:ascii="Times New Roman" w:hAnsi="Times New Roman"/>
                <w:kern w:val="0"/>
                <w:sz w:val="22"/>
                <w:szCs w:val="22"/>
                <w:lang w:eastAsia="pl-PL" w:bidi="ar-SA"/>
              </w:rPr>
              <w:t>- brak dostępu do gazu na terenie gminy</w:t>
            </w:r>
          </w:p>
          <w:p>
            <w:pPr>
              <w:pStyle w:val="Standard"/>
              <w:widowControl w:val="false"/>
              <w:spacing w:lineRule="auto" w:line="360"/>
              <w:rPr>
                <w:rFonts w:ascii="Times New Roman" w:hAnsi="Times New Roman" w:cs="Times New Roman"/>
                <w:kern w:val="0"/>
                <w:sz w:val="22"/>
                <w:szCs w:val="22"/>
                <w:lang w:eastAsia="pl-PL" w:bidi="ar-SA"/>
              </w:rPr>
            </w:pPr>
            <w:r>
              <w:rPr>
                <w:rFonts w:cs="Times New Roman" w:ascii="Times New Roman" w:hAnsi="Times New Roman"/>
                <w:kern w:val="0"/>
                <w:sz w:val="22"/>
                <w:szCs w:val="22"/>
                <w:lang w:eastAsia="pl-PL" w:bidi="ar-SA"/>
              </w:rPr>
              <w:t>zniechęca to dużych inwestorów, brak perspektyw w tym zakresie;</w:t>
            </w:r>
          </w:p>
          <w:p>
            <w:pPr>
              <w:pStyle w:val="Standard"/>
              <w:widowControl w:val="false"/>
              <w:spacing w:lineRule="auto" w:line="360"/>
              <w:rPr>
                <w:rFonts w:ascii="Times New Roman" w:hAnsi="Times New Roman" w:cs="Times New Roman"/>
                <w:kern w:val="0"/>
                <w:sz w:val="22"/>
                <w:szCs w:val="22"/>
                <w:lang w:eastAsia="pl-PL" w:bidi="ar-SA"/>
              </w:rPr>
            </w:pPr>
            <w:r>
              <w:rPr>
                <w:rFonts w:cs="Times New Roman" w:ascii="Times New Roman" w:hAnsi="Times New Roman"/>
                <w:kern w:val="0"/>
                <w:sz w:val="22"/>
                <w:szCs w:val="22"/>
                <w:lang w:eastAsia="pl-PL" w:bidi="ar-SA"/>
              </w:rPr>
              <w:t>- niewykorzystane grunty (3,5 ha) nad jeziorem</w:t>
            </w:r>
          </w:p>
          <w:p>
            <w:pPr>
              <w:pStyle w:val="Standard"/>
              <w:widowControl w:val="false"/>
              <w:spacing w:lineRule="auto" w:line="360"/>
              <w:rPr>
                <w:rFonts w:ascii="Times New Roman" w:hAnsi="Times New Roman" w:cs="Times New Roman"/>
                <w:kern w:val="0"/>
                <w:sz w:val="22"/>
                <w:szCs w:val="22"/>
                <w:lang w:eastAsia="pl-PL" w:bidi="ar-SA"/>
              </w:rPr>
            </w:pPr>
            <w:r>
              <w:rPr>
                <w:rFonts w:cs="Times New Roman" w:ascii="Times New Roman" w:hAnsi="Times New Roman"/>
                <w:kern w:val="0"/>
                <w:sz w:val="22"/>
                <w:szCs w:val="22"/>
                <w:lang w:eastAsia="pl-PL" w:bidi="ar-SA"/>
              </w:rPr>
              <w:t>brak bazy noclegowej – turyści przyjeżdżają tylko na pobyty jednodniowe, pomimo tego, że imprezy nad jeziorem cieszą się dużym powodzeniem;</w:t>
            </w:r>
          </w:p>
          <w:p>
            <w:pPr>
              <w:pStyle w:val="Standard"/>
              <w:widowControl w:val="false"/>
              <w:spacing w:lineRule="auto" w:line="360"/>
              <w:rPr>
                <w:rFonts w:ascii="Times New Roman" w:hAnsi="Times New Roman" w:cs="Times New Roman"/>
                <w:kern w:val="0"/>
                <w:sz w:val="22"/>
                <w:szCs w:val="22"/>
                <w:lang w:eastAsia="pl-PL" w:bidi="ar-SA"/>
              </w:rPr>
            </w:pPr>
            <w:r>
              <w:rPr>
                <w:rFonts w:cs="Times New Roman" w:ascii="Times New Roman" w:hAnsi="Times New Roman"/>
                <w:kern w:val="0"/>
                <w:sz w:val="22"/>
                <w:szCs w:val="22"/>
                <w:lang w:eastAsia="pl-PL" w:bidi="ar-SA"/>
              </w:rPr>
              <w:t>- migracje</w:t>
            </w:r>
          </w:p>
          <w:p>
            <w:pPr>
              <w:pStyle w:val="Standard"/>
              <w:widowControl w:val="false"/>
              <w:spacing w:lineRule="auto" w:line="360"/>
              <w:rPr>
                <w:rFonts w:ascii="Times New Roman" w:hAnsi="Times New Roman" w:cs="Times New Roman"/>
                <w:kern w:val="0"/>
                <w:sz w:val="22"/>
                <w:szCs w:val="22"/>
                <w:lang w:eastAsia="pl-PL" w:bidi="ar-SA"/>
              </w:rPr>
            </w:pPr>
            <w:r>
              <w:rPr>
                <w:rFonts w:cs="Times New Roman" w:ascii="Times New Roman" w:hAnsi="Times New Roman"/>
                <w:kern w:val="0"/>
                <w:sz w:val="22"/>
                <w:szCs w:val="22"/>
                <w:lang w:eastAsia="pl-PL" w:bidi="ar-SA"/>
              </w:rPr>
              <w:t>młode osoby po ukończeniu studiów najczęściej nie wracają ze względu na brak pracy, - migracje ale z drugiej strony nowe osiedle w Choceniu przyciągnęło osoby spoza gminy;</w:t>
            </w:r>
          </w:p>
          <w:p>
            <w:pPr>
              <w:pStyle w:val="Standard"/>
              <w:widowControl w:val="false"/>
              <w:spacing w:lineRule="auto" w:line="360"/>
              <w:rPr>
                <w:rFonts w:ascii="Times New Roman" w:hAnsi="Times New Roman" w:cs="Times New Roman"/>
                <w:b/>
                <w:b/>
                <w:bCs/>
                <w:sz w:val="22"/>
                <w:szCs w:val="22"/>
              </w:rPr>
            </w:pPr>
            <w:r>
              <w:rPr>
                <w:rFonts w:cs="Times New Roman" w:ascii="Times New Roman" w:hAnsi="Times New Roman"/>
                <w:b/>
                <w:bCs/>
                <w:sz w:val="22"/>
                <w:szCs w:val="22"/>
              </w:rPr>
            </w:r>
          </w:p>
        </w:tc>
      </w:tr>
      <w:tr>
        <w:trPr/>
        <w:tc>
          <w:tcPr>
            <w:tcW w:w="4614" w:type="dxa"/>
            <w:tcBorders>
              <w:top w:val="single" w:sz="4" w:space="0" w:color="000000"/>
              <w:left w:val="single" w:sz="4" w:space="0" w:color="000000"/>
              <w:bottom w:val="single" w:sz="4" w:space="0" w:color="000000"/>
              <w:right w:val="single" w:sz="4" w:space="0" w:color="000000"/>
            </w:tcBorders>
          </w:tcPr>
          <w:p>
            <w:pPr>
              <w:pStyle w:val="Standard"/>
              <w:widowControl w:val="false"/>
              <w:spacing w:lineRule="auto" w:line="360"/>
              <w:rPr>
                <w:rFonts w:ascii="Times New Roman" w:hAnsi="Times New Roman" w:cs="Times New Roman"/>
                <w:b/>
                <w:b/>
                <w:bCs/>
                <w:kern w:val="0"/>
                <w:sz w:val="22"/>
                <w:szCs w:val="22"/>
                <w:lang w:eastAsia="pl-PL" w:bidi="ar-SA"/>
              </w:rPr>
            </w:pPr>
            <w:r>
              <w:rPr>
                <w:rFonts w:cs="Times New Roman" w:ascii="Times New Roman" w:hAnsi="Times New Roman"/>
                <w:b/>
                <w:bCs/>
                <w:kern w:val="0"/>
                <w:sz w:val="22"/>
                <w:szCs w:val="22"/>
                <w:lang w:eastAsia="pl-PL" w:bidi="ar-SA"/>
              </w:rPr>
              <w:t>Szanse:</w:t>
            </w:r>
          </w:p>
          <w:p>
            <w:pPr>
              <w:pStyle w:val="Standard"/>
              <w:widowControl w:val="false"/>
              <w:spacing w:lineRule="auto" w:line="360"/>
              <w:rPr>
                <w:rFonts w:ascii="Times New Roman" w:hAnsi="Times New Roman" w:cs="Times New Roman"/>
                <w:kern w:val="0"/>
                <w:sz w:val="22"/>
                <w:szCs w:val="22"/>
                <w:lang w:eastAsia="pl-PL" w:bidi="ar-SA"/>
              </w:rPr>
            </w:pPr>
            <w:r>
              <w:rPr>
                <w:rFonts w:cs="Times New Roman" w:ascii="Times New Roman" w:hAnsi="Times New Roman"/>
                <w:kern w:val="0"/>
                <w:sz w:val="22"/>
                <w:szCs w:val="22"/>
                <w:lang w:eastAsia="pl-PL" w:bidi="ar-SA"/>
              </w:rPr>
              <w:t>- duże zainteresowanie wypoczynkiem nad jeziorem ze strony osób spoza gminy</w:t>
            </w:r>
          </w:p>
        </w:tc>
        <w:tc>
          <w:tcPr>
            <w:tcW w:w="5024" w:type="dxa"/>
            <w:tcBorders>
              <w:top w:val="single" w:sz="4" w:space="0" w:color="000000"/>
              <w:left w:val="single" w:sz="4" w:space="0" w:color="000000"/>
              <w:bottom w:val="single" w:sz="4" w:space="0" w:color="000000"/>
              <w:right w:val="single" w:sz="4" w:space="0" w:color="000000"/>
            </w:tcBorders>
          </w:tcPr>
          <w:p>
            <w:pPr>
              <w:pStyle w:val="Standard"/>
              <w:widowControl w:val="false"/>
              <w:spacing w:lineRule="auto" w:line="360"/>
              <w:rPr>
                <w:rFonts w:ascii="Times New Roman" w:hAnsi="Times New Roman" w:cs="Times New Roman"/>
                <w:b/>
                <w:b/>
                <w:bCs/>
                <w:kern w:val="0"/>
                <w:sz w:val="22"/>
                <w:szCs w:val="22"/>
                <w:lang w:eastAsia="pl-PL" w:bidi="ar-SA"/>
              </w:rPr>
            </w:pPr>
            <w:r>
              <w:rPr>
                <w:rFonts w:cs="Times New Roman" w:ascii="Times New Roman" w:hAnsi="Times New Roman"/>
                <w:b/>
                <w:bCs/>
                <w:kern w:val="0"/>
                <w:sz w:val="22"/>
                <w:szCs w:val="22"/>
                <w:lang w:eastAsia="pl-PL" w:bidi="ar-SA"/>
              </w:rPr>
              <w:t>Zagrożenia:</w:t>
            </w:r>
          </w:p>
          <w:p>
            <w:pPr>
              <w:pStyle w:val="Standard"/>
              <w:widowControl w:val="false"/>
              <w:spacing w:lineRule="auto" w:line="360"/>
              <w:rPr>
                <w:rFonts w:ascii="Times New Roman" w:hAnsi="Times New Roman" w:cs="Times New Roman"/>
                <w:kern w:val="0"/>
                <w:sz w:val="22"/>
                <w:szCs w:val="22"/>
                <w:lang w:eastAsia="pl-PL" w:bidi="ar-SA"/>
              </w:rPr>
            </w:pPr>
            <w:r>
              <w:rPr>
                <w:rFonts w:cs="Times New Roman" w:ascii="Times New Roman" w:hAnsi="Times New Roman"/>
                <w:kern w:val="0"/>
                <w:sz w:val="22"/>
                <w:szCs w:val="22"/>
                <w:lang w:eastAsia="pl-PL" w:bidi="ar-SA"/>
              </w:rPr>
              <w:t>- utrudnione korzystanie z komunikacji publicznej</w:t>
            </w:r>
          </w:p>
          <w:p>
            <w:pPr>
              <w:pStyle w:val="Standard"/>
              <w:widowControl w:val="false"/>
              <w:spacing w:lineRule="auto" w:line="360"/>
              <w:rPr>
                <w:rFonts w:ascii="Times New Roman" w:hAnsi="Times New Roman" w:cs="Times New Roman"/>
                <w:sz w:val="22"/>
                <w:szCs w:val="22"/>
              </w:rPr>
            </w:pPr>
            <w:r>
              <w:rPr>
                <w:rFonts w:cs="Times New Roman" w:ascii="Times New Roman" w:hAnsi="Times New Roman"/>
                <w:kern w:val="0"/>
                <w:sz w:val="22"/>
                <w:szCs w:val="22"/>
                <w:lang w:eastAsia="pl-PL" w:bidi="ar-SA"/>
              </w:rPr>
              <w:t>- likwidacja połączeń autobusowych i kolejowych;</w:t>
            </w:r>
          </w:p>
          <w:p>
            <w:pPr>
              <w:pStyle w:val="Standard"/>
              <w:widowControl w:val="false"/>
              <w:spacing w:lineRule="auto" w:line="360"/>
              <w:ind w:left="567" w:hanging="567"/>
              <w:rPr>
                <w:rFonts w:ascii="Times New Roman" w:hAnsi="Times New Roman" w:cs="Times New Roman"/>
                <w:kern w:val="0"/>
                <w:sz w:val="22"/>
                <w:szCs w:val="22"/>
                <w:lang w:eastAsia="pl-PL" w:bidi="ar-SA"/>
              </w:rPr>
            </w:pPr>
            <w:r>
              <w:rPr>
                <w:rFonts w:cs="Times New Roman" w:ascii="Times New Roman" w:hAnsi="Times New Roman"/>
                <w:kern w:val="0"/>
                <w:sz w:val="22"/>
                <w:szCs w:val="22"/>
                <w:lang w:eastAsia="pl-PL" w:bidi="ar-SA"/>
              </w:rPr>
              <w:t>- mentalność mieszkańców,</w:t>
            </w:r>
          </w:p>
          <w:p>
            <w:pPr>
              <w:pStyle w:val="Standard"/>
              <w:widowControl w:val="false"/>
              <w:spacing w:lineRule="auto" w:line="360"/>
              <w:jc w:val="both"/>
              <w:rPr>
                <w:rFonts w:ascii="Times New Roman" w:hAnsi="Times New Roman" w:cs="Times New Roman"/>
                <w:kern w:val="0"/>
                <w:sz w:val="22"/>
                <w:szCs w:val="22"/>
                <w:lang w:eastAsia="pl-PL" w:bidi="ar-SA"/>
              </w:rPr>
            </w:pPr>
            <w:r>
              <w:rPr>
                <w:rFonts w:cs="Times New Roman" w:ascii="Times New Roman" w:hAnsi="Times New Roman"/>
                <w:kern w:val="0"/>
                <w:sz w:val="22"/>
                <w:szCs w:val="22"/>
                <w:lang w:eastAsia="pl-PL" w:bidi="ar-SA"/>
              </w:rPr>
              <w:t>mieszkańcy nie chcą korzystać i dbać o infrastrukturę rekreacyjną (place zabaw, siłownie zewnętrzne, ścieżki rowerowe), mają raczej postawę roszczeniową. Są to kilkudziesięcioletnie zaszłości. W wielu rodzinach bezrobocie stało się „dziedziczne”, ludzie nie chcą szukać pracy, bo w rodzinie nikt nie pracował, korzystają zasiłków;</w:t>
            </w:r>
          </w:p>
          <w:p>
            <w:pPr>
              <w:pStyle w:val="Standard"/>
              <w:widowControl w:val="false"/>
              <w:spacing w:lineRule="auto" w:line="360"/>
              <w:jc w:val="both"/>
              <w:rPr>
                <w:rFonts w:ascii="Times New Roman" w:hAnsi="Times New Roman" w:cs="Times New Roman"/>
                <w:kern w:val="0"/>
                <w:sz w:val="22"/>
                <w:szCs w:val="22"/>
                <w:lang w:eastAsia="pl-PL" w:bidi="ar-SA"/>
              </w:rPr>
            </w:pPr>
            <w:r>
              <w:rPr>
                <w:rFonts w:cs="Times New Roman" w:ascii="Times New Roman" w:hAnsi="Times New Roman"/>
                <w:kern w:val="0"/>
                <w:sz w:val="22"/>
                <w:szCs w:val="22"/>
                <w:lang w:eastAsia="pl-PL" w:bidi="ar-SA"/>
              </w:rPr>
              <w:t>- nie można „wyrwać” jeziora z użytkowania dawnego PGR-u rybackiego</w:t>
            </w:r>
          </w:p>
          <w:p>
            <w:pPr>
              <w:pStyle w:val="Standard"/>
              <w:widowControl w:val="false"/>
              <w:spacing w:lineRule="auto" w:line="360"/>
              <w:jc w:val="both"/>
              <w:rPr>
                <w:rFonts w:ascii="Times New Roman" w:hAnsi="Times New Roman" w:cs="Times New Roman"/>
                <w:kern w:val="0"/>
                <w:sz w:val="22"/>
                <w:szCs w:val="22"/>
                <w:lang w:eastAsia="pl-PL" w:bidi="ar-SA"/>
              </w:rPr>
            </w:pPr>
            <w:r>
              <w:rPr>
                <w:rFonts w:cs="Times New Roman" w:ascii="Times New Roman" w:hAnsi="Times New Roman"/>
                <w:kern w:val="0"/>
                <w:sz w:val="22"/>
                <w:szCs w:val="22"/>
                <w:lang w:eastAsia="pl-PL" w:bidi="ar-SA"/>
              </w:rPr>
              <w:t>gmina ma pomysły i pieniądze, ale bez pomocy zewnętrznej na wysokim szczeblu nie może rozwiązać tego problemu. Trudno jest zwrócić uwagę na problemy takie małej gminy (które zdaniem wójta da się łatwo rozwiązać). Istnieje potrzeba realnego działania, pomocy. Gmina jest otwarta na propozycje, porady w tym zakresie;</w:t>
            </w:r>
          </w:p>
          <w:p>
            <w:pPr>
              <w:pStyle w:val="Standard"/>
              <w:widowControl w:val="false"/>
              <w:spacing w:lineRule="auto" w:line="360"/>
              <w:jc w:val="both"/>
              <w:rPr>
                <w:rFonts w:ascii="Times New Roman" w:hAnsi="Times New Roman" w:cs="Times New Roman"/>
                <w:kern w:val="0"/>
                <w:sz w:val="22"/>
                <w:szCs w:val="22"/>
                <w:lang w:eastAsia="pl-PL" w:bidi="ar-SA"/>
              </w:rPr>
            </w:pPr>
            <w:r>
              <w:rPr>
                <w:rFonts w:cs="Times New Roman" w:ascii="Times New Roman" w:hAnsi="Times New Roman"/>
                <w:kern w:val="0"/>
                <w:sz w:val="22"/>
                <w:szCs w:val="22"/>
                <w:lang w:eastAsia="pl-PL" w:bidi="ar-SA"/>
              </w:rPr>
              <w:t xml:space="preserve">- pandemia;  </w:t>
            </w:r>
          </w:p>
          <w:p>
            <w:pPr>
              <w:pStyle w:val="Standard"/>
              <w:widowControl w:val="false"/>
              <w:spacing w:lineRule="auto" w:line="360"/>
              <w:rPr>
                <w:rFonts w:ascii="Times New Roman" w:hAnsi="Times New Roman" w:cs="Times New Roman"/>
                <w:kern w:val="0"/>
                <w:sz w:val="22"/>
                <w:szCs w:val="22"/>
                <w:lang w:eastAsia="pl-PL" w:bidi="ar-SA"/>
              </w:rPr>
            </w:pPr>
            <w:r>
              <w:rPr>
                <w:rFonts w:cs="Times New Roman" w:ascii="Times New Roman" w:hAnsi="Times New Roman"/>
                <w:kern w:val="0"/>
                <w:sz w:val="22"/>
                <w:szCs w:val="22"/>
                <w:lang w:eastAsia="pl-PL" w:bidi="ar-SA"/>
              </w:rPr>
              <w:t>- ogólnoświatowa tendencja do siedzenia w domu np. przy komputerze</w:t>
            </w:r>
          </w:p>
          <w:p>
            <w:pPr>
              <w:pStyle w:val="Standard"/>
              <w:widowControl w:val="false"/>
              <w:spacing w:lineRule="auto" w:line="360"/>
              <w:rPr>
                <w:rFonts w:ascii="Times New Roman" w:hAnsi="Times New Roman" w:cs="Times New Roman"/>
                <w:kern w:val="0"/>
                <w:sz w:val="22"/>
                <w:szCs w:val="22"/>
                <w:lang w:eastAsia="pl-PL" w:bidi="ar-SA"/>
              </w:rPr>
            </w:pPr>
            <w:r>
              <w:rPr>
                <w:rFonts w:cs="Times New Roman" w:ascii="Times New Roman" w:hAnsi="Times New Roman"/>
                <w:kern w:val="0"/>
                <w:sz w:val="22"/>
                <w:szCs w:val="22"/>
                <w:lang w:eastAsia="pl-PL" w:bidi="ar-SA"/>
              </w:rPr>
              <w:t>nie sprzyja budowaniu relacji;</w:t>
            </w:r>
          </w:p>
          <w:p>
            <w:pPr>
              <w:pStyle w:val="Standard"/>
              <w:widowControl w:val="false"/>
              <w:spacing w:lineRule="auto" w:line="360"/>
              <w:rPr>
                <w:rFonts w:ascii="Times New Roman" w:hAnsi="Times New Roman" w:cs="Times New Roman"/>
                <w:sz w:val="22"/>
                <w:szCs w:val="22"/>
              </w:rPr>
            </w:pPr>
            <w:r>
              <w:rPr>
                <w:rFonts w:cs="Times New Roman" w:ascii="Times New Roman" w:hAnsi="Times New Roman"/>
                <w:kern w:val="0"/>
                <w:sz w:val="22"/>
                <w:szCs w:val="22"/>
                <w:lang w:eastAsia="pl-PL" w:bidi="ar-SA"/>
              </w:rPr>
              <w:t>- niewyjaśniona sytuacja prawna gruntów pod inwestycję. Jest inwestor, chce inwestować, ale nie może, ponieważ obecnie teren jest dzierżawiony i bez wypowiedzenia umowy dzierżawy nikt nie może go przejąć</w:t>
            </w:r>
            <w:r>
              <w:rPr>
                <w:rFonts w:cs="Times New Roman" w:ascii="Times New Roman" w:hAnsi="Times New Roman"/>
                <w:b/>
                <w:bCs/>
                <w:kern w:val="0"/>
                <w:sz w:val="22"/>
                <w:szCs w:val="22"/>
                <w:lang w:eastAsia="pl-PL" w:bidi="ar-SA"/>
              </w:rPr>
              <w:t xml:space="preserve">. </w:t>
            </w:r>
            <w:r>
              <w:rPr>
                <w:rFonts w:cs="Times New Roman" w:ascii="Times New Roman" w:hAnsi="Times New Roman"/>
                <w:kern w:val="0"/>
                <w:sz w:val="22"/>
                <w:szCs w:val="22"/>
                <w:lang w:eastAsia="pl-PL" w:bidi="ar-SA"/>
              </w:rPr>
              <w:t>Właścicielem jest KOWR (Krajowy Ośrodek Wsparcia Rolnictwa</w:t>
            </w:r>
            <w:r>
              <w:rPr>
                <w:rFonts w:cs="Times New Roman" w:ascii="Times New Roman" w:hAnsi="Times New Roman"/>
                <w:caps/>
                <w:kern w:val="0"/>
                <w:sz w:val="22"/>
                <w:szCs w:val="22"/>
                <w:lang w:eastAsia="pl-PL" w:bidi="ar-SA"/>
              </w:rPr>
              <w:t xml:space="preserve">), </w:t>
            </w:r>
            <w:r>
              <w:rPr>
                <w:rFonts w:cs="Times New Roman" w:ascii="Times New Roman" w:hAnsi="Times New Roman"/>
                <w:kern w:val="0"/>
                <w:sz w:val="22"/>
                <w:szCs w:val="22"/>
                <w:lang w:eastAsia="pl-PL" w:bidi="ar-SA"/>
              </w:rPr>
              <w:t>a dzierżawcą OHZZ (</w:t>
            </w:r>
            <w:r>
              <w:rPr>
                <w:rFonts w:cs="Times New Roman" w:ascii="Times New Roman" w:hAnsi="Times New Roman"/>
                <w:kern w:val="0"/>
                <w:sz w:val="22"/>
                <w:szCs w:val="22"/>
                <w:shd w:fill="FFFFFF" w:val="clear"/>
                <w:lang w:eastAsia="pl-PL" w:bidi="ar-SA"/>
              </w:rPr>
              <w:t xml:space="preserve">Ośrodek Hodowli Zwierząt Zagrodowych) w Chodeczku, który nie zgadza się na to, żeby część tych gruntów została sprzedana. Łącznie jest 100 ha gruntów, a </w:t>
            </w:r>
            <w:r>
              <w:rPr>
                <w:rFonts w:cs="Times New Roman" w:ascii="Times New Roman" w:hAnsi="Times New Roman"/>
                <w:kern w:val="0"/>
                <w:sz w:val="22"/>
                <w:szCs w:val="22"/>
                <w:lang w:eastAsia="pl-PL" w:bidi="ar-SA"/>
              </w:rPr>
              <w:t>inwestor potrzebuje 5-6 ha.</w:t>
            </w:r>
          </w:p>
        </w:tc>
      </w:tr>
    </w:tbl>
    <w:p>
      <w:pPr>
        <w:pStyle w:val="Standard"/>
        <w:spacing w:lineRule="auto" w:line="360"/>
        <w:jc w:val="both"/>
        <w:rPr>
          <w:rFonts w:ascii="Times New Roman" w:hAnsi="Times New Roman" w:eastAsia="Calibri" w:cs="Times New Roman"/>
          <w:sz w:val="22"/>
          <w:szCs w:val="22"/>
        </w:rPr>
      </w:pPr>
      <w:r>
        <w:rPr>
          <w:rFonts w:eastAsia="Calibri" w:cs="Times New Roman" w:ascii="Times New Roman" w:hAnsi="Times New Roman"/>
          <w:sz w:val="22"/>
          <w:szCs w:val="22"/>
        </w:rPr>
      </w:r>
    </w:p>
    <w:p>
      <w:pPr>
        <w:pStyle w:val="Nagwek1"/>
        <w:rPr>
          <w:rFonts w:ascii="Times New Roman" w:hAnsi="Times New Roman" w:cs="Times New Roman"/>
        </w:rPr>
      </w:pPr>
      <w:bookmarkStart w:id="33" w:name="_Toc85228971"/>
      <w:r>
        <w:rPr>
          <w:rFonts w:cs="Times New Roman" w:ascii="Times New Roman" w:hAnsi="Times New Roman"/>
        </w:rPr>
        <w:t>Rozdział 3. Cele i Priorytety Lokalnego Programu Rozwoju Gospodarczego</w:t>
      </w:r>
      <w:bookmarkEnd w:id="33"/>
    </w:p>
    <w:p>
      <w:pPr>
        <w:pStyle w:val="Nagwek2"/>
        <w:rPr>
          <w:rFonts w:ascii="Times New Roman" w:hAnsi="Times New Roman" w:cs="Times New Roman"/>
        </w:rPr>
      </w:pPr>
      <w:bookmarkStart w:id="34" w:name="_Toc85228972"/>
      <w:r>
        <w:rPr>
          <w:rFonts w:cs="Times New Roman" w:ascii="Times New Roman" w:hAnsi="Times New Roman"/>
        </w:rPr>
        <w:t>3.1. Wizja LPRG</w:t>
      </w:r>
      <w:bookmarkEnd w:id="34"/>
    </w:p>
    <w:p>
      <w:pPr>
        <w:pStyle w:val="Normal"/>
        <w:spacing w:lineRule="auto" w:line="360" w:before="0" w:after="0"/>
        <w:ind w:firstLine="708"/>
        <w:jc w:val="both"/>
        <w:rPr>
          <w:rFonts w:ascii="Times New Roman" w:hAnsi="Times New Roman" w:cs="Times New Roman"/>
        </w:rPr>
      </w:pPr>
      <w:r>
        <w:rPr>
          <w:rFonts w:cs="Times New Roman" w:ascii="Times New Roman" w:hAnsi="Times New Roman"/>
          <w:bCs/>
        </w:rPr>
        <w:t xml:space="preserve">Po przeprowadzonej diagnozie sytuacji gospodarczej Gminy Choceń oraz dokonaniu analizy SWOT, prezentującej najważniejsze aspekty z punktu widzenia możliwości rozwojowych jednostki, należy stwierdzić, iż obrana w 2000 roku misja Gminy jest nadal aktualna i zgodna z obecnymi potrzebami rozwojowymi jednostki. Wypracowana przy poprzedniej Strategii Rozwoju misja w kompleksowy sposób oddaje charakterystykę Gminy oraz uwzględnia spektrum możliwości, jakie z punktu widzenia potrzeb rozwojowych władze samorządowe są w stanie osiągnąć dzięki aktywnej partycypacji społeczności lokalnej.  </w:t>
      </w:r>
      <w:r>
        <w:rPr>
          <w:rFonts w:cs="Times New Roman" w:ascii="Times New Roman" w:hAnsi="Times New Roman"/>
        </w:rPr>
        <w:t xml:space="preserve">Wizję Lokalnego Programu Rozwoju Gospodarczego Gminy Choceń tworzy pięć filarów odnoszących się do: </w:t>
      </w:r>
    </w:p>
    <w:p>
      <w:pPr>
        <w:pStyle w:val="Normal"/>
        <w:spacing w:lineRule="auto" w:line="360" w:before="0" w:after="0"/>
        <w:ind w:firstLine="708"/>
        <w:jc w:val="both"/>
        <w:rPr>
          <w:rFonts w:ascii="Times New Roman" w:hAnsi="Times New Roman" w:cs="Times New Roman"/>
        </w:rPr>
      </w:pPr>
      <w:r>
        <w:rPr>
          <w:rFonts w:cs="Times New Roman" w:ascii="Times New Roman" w:hAnsi="Times New Roman"/>
        </w:rPr>
      </w:r>
    </w:p>
    <w:p>
      <w:pPr>
        <w:pStyle w:val="Normal"/>
        <w:spacing w:lineRule="auto" w:line="360" w:before="0" w:after="0"/>
        <w:jc w:val="both"/>
        <w:rPr>
          <w:rFonts w:ascii="Times New Roman" w:hAnsi="Times New Roman" w:cs="Times New Roman"/>
        </w:rPr>
      </w:pPr>
      <w:r>
        <w:rPr>
          <w:rFonts w:cs="Times New Roman" w:ascii="Times New Roman" w:hAnsi="Times New Roman"/>
        </w:rPr>
        <w:t xml:space="preserve">1) Domeny działalności– podstawowym obszar specjalizacji LPRG jest tworzenie warunków do rozwoju przedsiębiorczości w gminie oraz wspieranie inicjatyw podnoszących efektywność już istniejących podmiotów. </w:t>
      </w:r>
    </w:p>
    <w:p>
      <w:pPr>
        <w:pStyle w:val="Normal"/>
        <w:spacing w:lineRule="auto" w:line="360" w:before="0" w:after="0"/>
        <w:jc w:val="both"/>
        <w:rPr>
          <w:rFonts w:ascii="Times New Roman" w:hAnsi="Times New Roman" w:cs="Times New Roman"/>
        </w:rPr>
      </w:pPr>
      <w:r>
        <w:rPr>
          <w:rFonts w:cs="Times New Roman" w:ascii="Times New Roman" w:hAnsi="Times New Roman"/>
        </w:rPr>
        <w:t>2) Odpowiedzialności  – to wyrażona w tym dokumencie strategicznym wrażliwość gminy na potrzeby lokalnych podmiotów i nadanie później odpowiednich priorytetów w ich realizacji.</w:t>
      </w:r>
    </w:p>
    <w:p>
      <w:pPr>
        <w:pStyle w:val="Normal"/>
        <w:spacing w:lineRule="auto" w:line="360" w:before="0" w:after="0"/>
        <w:jc w:val="both"/>
        <w:rPr>
          <w:rFonts w:ascii="Times New Roman" w:hAnsi="Times New Roman" w:cs="Times New Roman"/>
        </w:rPr>
      </w:pPr>
      <w:r>
        <w:rPr>
          <w:rFonts w:cs="Times New Roman" w:ascii="Times New Roman" w:hAnsi="Times New Roman"/>
        </w:rPr>
        <w:t>3) Standardów sukcesu – określone w tej strategii mierniki długookresowego powodzenia (przedstawione jako wskaźniki realizacji projektów), wyrażone możliwie konkretnie liczbowo</w:t>
      </w:r>
    </w:p>
    <w:p>
      <w:pPr>
        <w:pStyle w:val="Normal"/>
        <w:spacing w:lineRule="auto" w:line="360" w:before="0" w:after="0"/>
        <w:jc w:val="both"/>
        <w:rPr>
          <w:rFonts w:ascii="Times New Roman" w:hAnsi="Times New Roman" w:cs="Times New Roman"/>
        </w:rPr>
      </w:pPr>
      <w:r>
        <w:rPr>
          <w:rFonts w:cs="Times New Roman" w:ascii="Times New Roman" w:hAnsi="Times New Roman"/>
        </w:rPr>
        <w:t>4) Kluczowych kompetencji – określenie umiejętności i technologii służących sukcesowi, rozumianemu jako wzrost potencjału do realizacji nowych przedsięwzięć</w:t>
      </w:r>
    </w:p>
    <w:p>
      <w:pPr>
        <w:pStyle w:val="Normal"/>
        <w:spacing w:lineRule="auto" w:line="360" w:before="0" w:after="0"/>
        <w:jc w:val="both"/>
        <w:rPr>
          <w:rFonts w:ascii="Times New Roman" w:hAnsi="Times New Roman" w:cs="Times New Roman"/>
        </w:rPr>
      </w:pPr>
      <w:r>
        <w:rPr>
          <w:rFonts w:cs="Times New Roman" w:ascii="Times New Roman" w:hAnsi="Times New Roman"/>
        </w:rPr>
        <w:t>5) Organizacji - rozumianej jako podstawowe zasady systemu współpracy podmiotów gospodarczych, ale i hierarchii panującej w przedsiębiorstwie utrwalonej w ładzie organizacyjnym.</w:t>
      </w:r>
    </w:p>
    <w:p>
      <w:pPr>
        <w:pStyle w:val="Normal"/>
        <w:spacing w:lineRule="auto" w:line="360" w:before="0" w:after="0"/>
        <w:jc w:val="both"/>
        <w:rPr>
          <w:rFonts w:ascii="Times New Roman" w:hAnsi="Times New Roman" w:cs="Times New Roman"/>
        </w:rPr>
      </w:pPr>
      <w:r>
        <w:rPr>
          <w:rFonts w:cs="Times New Roman" w:ascii="Times New Roman" w:hAnsi="Times New Roman"/>
        </w:rPr>
      </w:r>
    </w:p>
    <w:p>
      <w:pPr>
        <w:pStyle w:val="Normal"/>
        <w:spacing w:lineRule="auto" w:line="360" w:before="0" w:after="0"/>
        <w:jc w:val="both"/>
        <w:rPr>
          <w:rFonts w:ascii="Times New Roman" w:hAnsi="Times New Roman" w:cs="Times New Roman"/>
        </w:rPr>
      </w:pPr>
      <w:r>
        <w:rPr>
          <w:rFonts w:cs="Times New Roman" w:ascii="Times New Roman" w:hAnsi="Times New Roman"/>
        </w:rPr>
      </w:r>
    </w:p>
    <w:p>
      <w:pPr>
        <w:pStyle w:val="Normal"/>
        <w:spacing w:lineRule="auto" w:line="360" w:before="0" w:after="0"/>
        <w:jc w:val="both"/>
        <w:rPr>
          <w:rFonts w:ascii="Times New Roman" w:hAnsi="Times New Roman" w:cs="Times New Roman"/>
        </w:rPr>
      </w:pPr>
      <w:r>
        <w:rPr>
          <w:rFonts w:cs="Times New Roman" w:ascii="Times New Roman" w:hAnsi="Times New Roman"/>
        </w:rPr>
        <w:t xml:space="preserve">WIZJA: </w:t>
      </w:r>
      <w:r>
        <w:rPr>
          <w:rFonts w:cs="Times New Roman" w:ascii="Times New Roman" w:hAnsi="Times New Roman"/>
          <w:i/>
        </w:rPr>
        <w:t>Gmina Choceń  jest miejscem przyjaznym przedsiębiorcom. Gmina w działaniach na rzecz otoczenia gospodarczego jest aktywna, zorganizowana i skuteczna.  Źródłem zamożności mieszkańców w tym osób prowadzących na terenie gminy działalność gospodarczą jest wysoka produktywność, przedsiębiorczość oraz nowoczesna infrastruktura, która służy celom interesariuszy.  Podmioty gospodarcze działające na terenie gminy współpracują ze sobą, pomagają sobie wzajemnie oraz dbają o środowisko i dobrostan mieszańców. Gmina inicjuje i wspiera inicjatywy pro przedsiębiorcze oraz w działania w zakresie społecznej odpowiedzialności biznesu.</w:t>
      </w:r>
      <w:r>
        <w:rPr>
          <w:rFonts w:cs="Times New Roman" w:ascii="Times New Roman" w:hAnsi="Times New Roman"/>
        </w:rPr>
        <w:t xml:space="preserve"> </w:t>
      </w:r>
    </w:p>
    <w:p>
      <w:pPr>
        <w:pStyle w:val="Nagwek2"/>
        <w:rPr>
          <w:rFonts w:ascii="Times New Roman" w:hAnsi="Times New Roman" w:cs="Times New Roman"/>
        </w:rPr>
      </w:pPr>
      <w:bookmarkStart w:id="35" w:name="_Toc85228973"/>
      <w:r>
        <w:rPr>
          <w:rFonts w:cs="Times New Roman" w:ascii="Times New Roman" w:hAnsi="Times New Roman"/>
        </w:rPr>
        <w:t>3.2. Cele strategiczne LPRG</w:t>
      </w:r>
      <w:bookmarkEnd w:id="35"/>
      <w:r>
        <w:rPr>
          <w:rFonts w:cs="Times New Roman" w:ascii="Times New Roman" w:hAnsi="Times New Roman"/>
        </w:rPr>
        <w:t xml:space="preserve"> </w:t>
      </w:r>
    </w:p>
    <w:p>
      <w:pPr>
        <w:pStyle w:val="Normal"/>
        <w:spacing w:lineRule="auto" w:line="360" w:before="0" w:after="0"/>
        <w:jc w:val="both"/>
        <w:rPr>
          <w:rFonts w:ascii="Times New Roman" w:hAnsi="Times New Roman" w:cs="Times New Roman"/>
          <w:bCs/>
        </w:rPr>
      </w:pPr>
      <w:r>
        <w:rPr>
          <w:rFonts w:cs="Times New Roman" w:ascii="Times New Roman" w:hAnsi="Times New Roman"/>
          <w:bCs/>
        </w:rPr>
        <w:t xml:space="preserve">Na podstawie przeprowadzonej diagnozy gospodarczej, doradztwa oraz coachingu realizowanego z osobami odpowiedzialnymi za stworzenie LPRG oraz skonstruowanej analizie SWOT opracowano cel strategiczny rozwoju gospodarczego Gminy. </w:t>
      </w:r>
    </w:p>
    <w:p>
      <w:pPr>
        <w:pStyle w:val="Normal"/>
        <w:spacing w:lineRule="auto" w:line="360" w:before="0" w:after="0"/>
        <w:jc w:val="both"/>
        <w:rPr>
          <w:rFonts w:ascii="Times New Roman" w:hAnsi="Times New Roman" w:cs="Times New Roman"/>
          <w:bCs/>
        </w:rPr>
      </w:pPr>
      <w:r>
        <w:rPr>
          <w:rFonts w:cs="Times New Roman" w:ascii="Times New Roman" w:hAnsi="Times New Roman"/>
          <w:bCs/>
        </w:rPr>
      </w:r>
    </w:p>
    <w:p>
      <w:pPr>
        <w:pStyle w:val="Normal"/>
        <w:spacing w:lineRule="auto" w:line="360" w:before="0" w:after="0"/>
        <w:jc w:val="both"/>
        <w:rPr>
          <w:rFonts w:ascii="Times New Roman" w:hAnsi="Times New Roman" w:cs="Times New Roman"/>
          <w:b/>
          <w:b/>
          <w:bCs/>
        </w:rPr>
      </w:pPr>
      <w:r>
        <w:rPr>
          <w:rFonts w:cs="Times New Roman" w:ascii="Times New Roman" w:hAnsi="Times New Roman"/>
          <w:b/>
          <w:bCs/>
        </w:rPr>
        <w:t xml:space="preserve">Cel strategiczny: Wzmacnianie przedsiębiorczości poprzez wspieranie konkurencyjności lokalnej gospodarki oraz podnoszenie jakości i atrakcyjności warunków do prowadzenia działalności gospodarczej na terenie gminy.  </w:t>
      </w:r>
    </w:p>
    <w:p>
      <w:pPr>
        <w:pStyle w:val="Normal"/>
        <w:spacing w:lineRule="auto" w:line="360" w:before="0" w:after="0"/>
        <w:jc w:val="both"/>
        <w:rPr>
          <w:rFonts w:ascii="Times New Roman" w:hAnsi="Times New Roman" w:cs="Times New Roman"/>
          <w:b/>
          <w:b/>
          <w:bCs/>
        </w:rPr>
      </w:pPr>
      <w:r>
        <w:rPr>
          <w:rFonts w:cs="Times New Roman" w:ascii="Times New Roman" w:hAnsi="Times New Roman"/>
          <w:b/>
          <w:bCs/>
        </w:rPr>
      </w:r>
    </w:p>
    <w:p>
      <w:pPr>
        <w:pStyle w:val="Normal"/>
        <w:spacing w:lineRule="auto" w:line="360" w:before="0" w:after="0"/>
        <w:jc w:val="both"/>
        <w:rPr>
          <w:rFonts w:ascii="Times New Roman" w:hAnsi="Times New Roman" w:cs="Times New Roman"/>
          <w:bCs/>
        </w:rPr>
      </w:pPr>
      <w:r>
        <w:rPr>
          <w:rFonts w:cs="Times New Roman" w:ascii="Times New Roman" w:hAnsi="Times New Roman"/>
          <w:bCs/>
        </w:rPr>
        <w:t xml:space="preserve">Rozwinięcie celu strategicznego stanowią cele horyzontalne, które przedstawiają się następująco: </w:t>
      </w:r>
    </w:p>
    <w:p>
      <w:pPr>
        <w:pStyle w:val="Normal"/>
        <w:spacing w:lineRule="auto" w:line="360" w:before="0" w:after="0"/>
        <w:jc w:val="both"/>
        <w:rPr>
          <w:rFonts w:ascii="Times New Roman" w:hAnsi="Times New Roman" w:cs="Times New Roman"/>
          <w:b/>
          <w:b/>
          <w:bCs/>
        </w:rPr>
      </w:pPr>
      <w:r>
        <w:rPr>
          <w:rFonts w:cs="Times New Roman" w:ascii="Times New Roman" w:hAnsi="Times New Roman"/>
          <w:b/>
          <w:bCs/>
        </w:rPr>
      </w:r>
    </w:p>
    <w:p>
      <w:pPr>
        <w:pStyle w:val="Normal"/>
        <w:spacing w:lineRule="auto" w:line="360" w:before="0" w:after="0"/>
        <w:jc w:val="both"/>
        <w:rPr>
          <w:rFonts w:ascii="Times New Roman" w:hAnsi="Times New Roman" w:cs="Times New Roman"/>
        </w:rPr>
      </w:pPr>
      <w:r>
        <w:rPr>
          <w:rFonts w:cs="Times New Roman" w:ascii="Times New Roman" w:hAnsi="Times New Roman"/>
        </w:rPr>
        <w:t>CH 1. WZROST INNOWACYJNOŚCI I KONKURENCYJNOŚCI</w:t>
      </w:r>
    </w:p>
    <w:p>
      <w:pPr>
        <w:pStyle w:val="Normal"/>
        <w:spacing w:lineRule="auto" w:line="360" w:before="0" w:after="0"/>
        <w:jc w:val="both"/>
        <w:rPr>
          <w:rFonts w:ascii="Times New Roman" w:hAnsi="Times New Roman" w:cs="Times New Roman"/>
        </w:rPr>
      </w:pPr>
      <w:r>
        <w:rPr>
          <w:rFonts w:cs="Times New Roman" w:ascii="Times New Roman" w:hAnsi="Times New Roman"/>
        </w:rPr>
        <w:t xml:space="preserve">Uzasadnienie: Jednym z głównych źródeł niskiej konkurencyjności polskiej gospodarki jest stosunkowo niska zdolność do tworzenia innowacji. W sytuacji wyczerpywania się w Polsce takich źródeł konkurencyjności jak koszty pracy czy adaptacja  zewnętrznych technologii, waga problemu niskiej innowacyjności przedsiębiorstw będzie rosnąć. Słabość polskiej gospodarki pod względem konkurencyjności i innowacyjności jest widoczna w porównaniach międzynarodowych. Sytuacja ta pogłębia się na poziomie lokalnym. Małe gminy nie mają instrumentów wspierania innowacyjności i w tym zakresie rekomendowana jest współpraca z działającymi regionalnie IOB, organizacjami branżowymi oraz ośrodkami akademickimi. </w:t>
      </w:r>
    </w:p>
    <w:p>
      <w:pPr>
        <w:pStyle w:val="Normal"/>
        <w:spacing w:lineRule="auto" w:line="360" w:before="0" w:after="0"/>
        <w:jc w:val="both"/>
        <w:rPr>
          <w:rFonts w:ascii="Times New Roman" w:hAnsi="Times New Roman" w:cs="Times New Roman"/>
        </w:rPr>
      </w:pPr>
      <w:r>
        <w:rPr>
          <w:rFonts w:cs="Times New Roman" w:ascii="Times New Roman" w:hAnsi="Times New Roman"/>
        </w:rPr>
        <w:t>CH 2. WZROST PRZEDSIĘBIORCZOŚCI I PRODUKTYWNOŚCI</w:t>
      </w:r>
    </w:p>
    <w:p>
      <w:pPr>
        <w:pStyle w:val="Normal"/>
        <w:spacing w:lineRule="auto" w:line="360" w:before="0" w:after="0"/>
        <w:jc w:val="both"/>
        <w:rPr>
          <w:rFonts w:ascii="Times New Roman" w:hAnsi="Times New Roman" w:cs="Times New Roman"/>
        </w:rPr>
      </w:pPr>
      <w:r>
        <w:rPr>
          <w:rFonts w:cs="Times New Roman" w:ascii="Times New Roman" w:hAnsi="Times New Roman"/>
        </w:rPr>
        <w:t>Docelowa wizja lokalnego systemu wspierania przedsiębiorczości opiera się na tworzeniu struktury podmiotowej generującej  impulsy prorozwojowe, wzmacniających produktywność, charakteryzujących się wysokiej jakości zarządzaniem oraz budujących wzajemne zaufanie pomiędzy interesariuszami. Taką rolę powinny pełnić Lokalne Organizacje Gospodarcze (LOG). To LOGi i realizowane przez nie projektu  pozwolą podnieść produktywność przedsiębiorstw, uwolnić zasoby i pomysły drzemiące w przedsiębiorcach oraz aktywnie reagować na wyzwania przyszłości. Ułatwią także adaptację</w:t>
      </w:r>
    </w:p>
    <w:p>
      <w:pPr>
        <w:pStyle w:val="Normal"/>
        <w:spacing w:lineRule="auto" w:line="360" w:before="0" w:after="0"/>
        <w:jc w:val="both"/>
        <w:rPr>
          <w:rFonts w:ascii="Times New Roman" w:hAnsi="Times New Roman" w:cs="Times New Roman"/>
        </w:rPr>
      </w:pPr>
      <w:r>
        <w:rPr>
          <w:rFonts w:cs="Times New Roman" w:ascii="Times New Roman" w:hAnsi="Times New Roman"/>
        </w:rPr>
        <w:t>przedsiębiorstw, osiąganie przez nie efektów sieciowych oraz sprawną realizację celów strategicznych.</w:t>
      </w:r>
    </w:p>
    <w:p>
      <w:pPr>
        <w:pStyle w:val="Normal"/>
        <w:spacing w:lineRule="auto" w:line="360" w:before="0" w:after="0"/>
        <w:jc w:val="both"/>
        <w:rPr>
          <w:rFonts w:ascii="Times New Roman" w:hAnsi="Times New Roman" w:cs="Times New Roman"/>
        </w:rPr>
      </w:pPr>
      <w:r>
        <w:rPr>
          <w:rFonts w:cs="Times New Roman" w:ascii="Times New Roman" w:hAnsi="Times New Roman"/>
        </w:rPr>
        <w:t>CH 3. WZROST WSPÓŁPRACY</w:t>
      </w:r>
    </w:p>
    <w:p>
      <w:pPr>
        <w:pStyle w:val="Normal"/>
        <w:spacing w:lineRule="auto" w:line="360" w:before="0" w:after="0"/>
        <w:jc w:val="both"/>
        <w:rPr>
          <w:rFonts w:ascii="Times New Roman" w:hAnsi="Times New Roman" w:cs="Times New Roman"/>
        </w:rPr>
      </w:pPr>
      <w:r>
        <w:rPr>
          <w:rFonts w:cs="Times New Roman" w:ascii="Times New Roman" w:hAnsi="Times New Roman"/>
        </w:rPr>
        <w:t>Polityka lokalna gminy powinna mieć również na celu integrację przedsiębiorstw, których zasoby są wobec siebie komplementarne, a których synergie hamowane są dzisiaj przez nieoptymalne mechanizmy koordynacji. Model koordynacji rynkowej, w której każda usługa nabywana jest osobno na rynku powinien być zastępowany bardziej zintegrowanymi formami współpracy / kooperacji. Sprzyja temu tworzenie ekosystemów (klastrów, holdingów, powiązań kooperacyjnych), w których większość procesów koordynowanych jest pomiędzy  podmiotami przez mechanizmy sieciowe i kooperację. Integracja to szansa na efekt synergii pomiędzy przedsiębiorstwami. Zwiększają one swoją produktywność pozwalając zaistnieć nieoczywistym połączeniom technologii, elementów designu, funkcjonalności czy współpracując w ramach łańcucha dostaw.</w:t>
      </w:r>
    </w:p>
    <w:p>
      <w:pPr>
        <w:pStyle w:val="Normal"/>
        <w:spacing w:lineRule="auto" w:line="360" w:before="0" w:after="0"/>
        <w:rPr>
          <w:rFonts w:ascii="Times New Roman" w:hAnsi="Times New Roman" w:cs="Times New Roman"/>
        </w:rPr>
      </w:pPr>
      <w:r>
        <w:rPr>
          <w:rFonts w:cs="Times New Roman" w:ascii="Times New Roman" w:hAnsi="Times New Roman"/>
        </w:rPr>
        <w:t>Wybranym obligatoryjnym celom horyzontalnym przypisano cele szczegółowe, do których gmina mogła w oparciu o wcześniej przeprowadzoną diagnozę i konsultacje z mieszkańcami oraz lokalnymi przedsiębiorcami przypisać konkretne projekty. Z kolei już zaproponowanym projektom przypisać w dalszej kolejności wskaźniki.</w:t>
      </w:r>
    </w:p>
    <w:p>
      <w:pPr>
        <w:pStyle w:val="ListParagraph"/>
        <w:numPr>
          <w:ilvl w:val="0"/>
          <w:numId w:val="1"/>
        </w:numPr>
        <w:spacing w:lineRule="auto" w:line="360"/>
        <w:rPr>
          <w:sz w:val="22"/>
          <w:szCs w:val="22"/>
        </w:rPr>
      </w:pPr>
      <w:r>
        <w:rPr>
          <w:sz w:val="22"/>
          <w:szCs w:val="22"/>
        </w:rPr>
        <w:t>Cel szczegółowy 1. Podejmowanie  działań inwestycyjnych ukierunkowanych na rozwój i poprawę konkurencyjności MSP</w:t>
      </w:r>
    </w:p>
    <w:p>
      <w:pPr>
        <w:pStyle w:val="ListParagraph"/>
        <w:numPr>
          <w:ilvl w:val="0"/>
          <w:numId w:val="1"/>
        </w:numPr>
        <w:spacing w:lineRule="auto" w:line="360"/>
        <w:rPr>
          <w:sz w:val="22"/>
          <w:szCs w:val="22"/>
        </w:rPr>
      </w:pPr>
      <w:r>
        <w:rPr>
          <w:sz w:val="22"/>
          <w:szCs w:val="22"/>
        </w:rPr>
        <w:t>Cel szczegółowy 2. Podejmowanie działań pozainwestycyjnych ukierunkowanych na rozwój i poprawę konkurencyjności MSP</w:t>
      </w:r>
    </w:p>
    <w:p>
      <w:pPr>
        <w:pStyle w:val="ListParagraph"/>
        <w:numPr>
          <w:ilvl w:val="0"/>
          <w:numId w:val="1"/>
        </w:numPr>
        <w:spacing w:lineRule="auto" w:line="360"/>
        <w:rPr>
          <w:sz w:val="22"/>
          <w:szCs w:val="22"/>
        </w:rPr>
      </w:pPr>
      <w:r>
        <w:rPr>
          <w:sz w:val="22"/>
          <w:szCs w:val="22"/>
        </w:rPr>
        <w:t>Cel szczegółowy 3. Podejmowanie działań inwestycyjnych ukierunkowanych na rozwój i poprawę konkurencyjności Instytucji Otoczenia Biznesu</w:t>
      </w:r>
    </w:p>
    <w:p>
      <w:pPr>
        <w:pStyle w:val="ListParagraph"/>
        <w:numPr>
          <w:ilvl w:val="0"/>
          <w:numId w:val="1"/>
        </w:numPr>
        <w:spacing w:lineRule="auto" w:line="360"/>
        <w:rPr>
          <w:sz w:val="22"/>
          <w:szCs w:val="22"/>
        </w:rPr>
      </w:pPr>
      <w:r>
        <w:rPr>
          <w:sz w:val="22"/>
          <w:szCs w:val="22"/>
        </w:rPr>
        <w:t>Cel szczegółowy 4. Podejmowanie działań pozainwestycyjnych ukierunkowanych na rozwój i poprawę konkurencyjności Instytucji Otoczenia Biznesu</w:t>
      </w:r>
    </w:p>
    <w:p>
      <w:pPr>
        <w:pStyle w:val="ListParagraph"/>
        <w:numPr>
          <w:ilvl w:val="0"/>
          <w:numId w:val="1"/>
        </w:numPr>
        <w:spacing w:lineRule="auto" w:line="360"/>
        <w:rPr>
          <w:sz w:val="22"/>
          <w:szCs w:val="22"/>
        </w:rPr>
      </w:pPr>
      <w:r>
        <w:rPr>
          <w:sz w:val="22"/>
          <w:szCs w:val="22"/>
        </w:rPr>
        <w:t>Cel szczegółowy 5. Podejmowanie działań związanych z polityką fiskalną Gminy ukierunkowanych na rozwój przedsiębiorczości</w:t>
      </w:r>
    </w:p>
    <w:p>
      <w:pPr>
        <w:pStyle w:val="ListParagraph"/>
        <w:numPr>
          <w:ilvl w:val="0"/>
          <w:numId w:val="1"/>
        </w:numPr>
        <w:spacing w:lineRule="auto" w:line="360"/>
        <w:rPr>
          <w:sz w:val="22"/>
          <w:szCs w:val="22"/>
        </w:rPr>
      </w:pPr>
      <w:r>
        <w:rPr>
          <w:sz w:val="22"/>
          <w:szCs w:val="22"/>
        </w:rPr>
        <w:t>Cel szczegółowy 6. Podejmowanie działań inwestycyjnych ukierunkowanych na rozwój i poprawę konkurencyjności Gminy</w:t>
      </w:r>
    </w:p>
    <w:p>
      <w:pPr>
        <w:pStyle w:val="ListParagraph"/>
        <w:numPr>
          <w:ilvl w:val="0"/>
          <w:numId w:val="1"/>
        </w:numPr>
        <w:spacing w:lineRule="auto" w:line="360"/>
        <w:rPr>
          <w:sz w:val="22"/>
          <w:szCs w:val="22"/>
        </w:rPr>
      </w:pPr>
      <w:r>
        <w:rPr>
          <w:sz w:val="22"/>
          <w:szCs w:val="22"/>
        </w:rPr>
        <w:t>Cel szczegółowy 7. Podejmowanie działań pozainwestycyjnych ukierunkowanych na rozwój i poprawę konkurencyjności Gminy</w:t>
      </w:r>
    </w:p>
    <w:p>
      <w:pPr>
        <w:pStyle w:val="ListParagraph"/>
        <w:numPr>
          <w:ilvl w:val="0"/>
          <w:numId w:val="1"/>
        </w:numPr>
        <w:spacing w:lineRule="auto" w:line="360"/>
        <w:rPr>
          <w:sz w:val="22"/>
          <w:szCs w:val="22"/>
        </w:rPr>
      </w:pPr>
      <w:r>
        <w:rPr>
          <w:sz w:val="22"/>
          <w:szCs w:val="22"/>
        </w:rPr>
      </w:r>
    </w:p>
    <w:tbl>
      <w:tblPr>
        <w:tblStyle w:val="Tabela-Siatka"/>
        <w:tblW w:w="9212" w:type="dxa"/>
        <w:jc w:val="left"/>
        <w:tblInd w:w="0" w:type="dxa"/>
        <w:tblLayout w:type="fixed"/>
        <w:tblCellMar>
          <w:top w:w="0" w:type="dxa"/>
          <w:left w:w="70" w:type="dxa"/>
          <w:bottom w:w="0" w:type="dxa"/>
          <w:right w:w="70" w:type="dxa"/>
        </w:tblCellMar>
        <w:tblLook w:firstRow="0" w:noVBand="0" w:lastRow="0" w:firstColumn="0" w:lastColumn="0" w:noHBand="0" w:val="0000"/>
      </w:tblPr>
      <w:tblGrid>
        <w:gridCol w:w="970"/>
        <w:gridCol w:w="1274"/>
        <w:gridCol w:w="1106"/>
        <w:gridCol w:w="1022"/>
        <w:gridCol w:w="1416"/>
        <w:gridCol w:w="805"/>
        <w:gridCol w:w="1321"/>
        <w:gridCol w:w="1297"/>
      </w:tblGrid>
      <w:tr>
        <w:trPr>
          <w:trHeight w:val="300" w:hRule="atLeast"/>
        </w:trPr>
        <w:tc>
          <w:tcPr>
            <w:tcW w:w="970" w:type="dxa"/>
            <w:tcBorders>
              <w:top w:val="single" w:sz="18" w:space="0" w:color="000000"/>
              <w:left w:val="single" w:sz="18" w:space="0" w:color="000000"/>
              <w:bottom w:val="single" w:sz="18" w:space="0" w:color="000000"/>
              <w:right w:val="single" w:sz="18" w:space="0" w:color="000000"/>
            </w:tcBorders>
          </w:tcPr>
          <w:p>
            <w:pPr>
              <w:pStyle w:val="Normal"/>
              <w:widowControl w:val="false"/>
              <w:suppressAutoHyphens w:val="true"/>
              <w:spacing w:lineRule="auto" w:line="240" w:before="0" w:after="0"/>
              <w:jc w:val="both"/>
              <w:rPr>
                <w:rFonts w:ascii="Times New Roman" w:hAnsi="Times New Roman" w:cs="Times New Roman"/>
                <w:sz w:val="16"/>
                <w:szCs w:val="16"/>
              </w:rPr>
            </w:pPr>
            <w:r>
              <w:rPr>
                <w:rFonts w:eastAsia="Calibri" w:cs="Times New Roman" w:ascii="Times New Roman" w:hAnsi="Times New Roman"/>
                <w:kern w:val="0"/>
                <w:sz w:val="16"/>
                <w:szCs w:val="16"/>
                <w:lang w:val="pl-PL" w:eastAsia="en-US" w:bidi="ar-SA"/>
              </w:rPr>
              <w:t>Interesariusz</w:t>
            </w:r>
          </w:p>
        </w:tc>
        <w:tc>
          <w:tcPr>
            <w:tcW w:w="2380" w:type="dxa"/>
            <w:gridSpan w:val="2"/>
            <w:tcBorders>
              <w:top w:val="single" w:sz="18" w:space="0" w:color="000000"/>
              <w:left w:val="single" w:sz="18" w:space="0" w:color="000000"/>
              <w:bottom w:val="single" w:sz="18" w:space="0" w:color="000000"/>
              <w:right w:val="single" w:sz="18" w:space="0" w:color="000000"/>
            </w:tcBorders>
          </w:tcPr>
          <w:p>
            <w:pPr>
              <w:pStyle w:val="Normal"/>
              <w:widowControl w:val="false"/>
              <w:suppressAutoHyphens w:val="true"/>
              <w:spacing w:lineRule="auto" w:line="240" w:before="0" w:after="0"/>
              <w:jc w:val="both"/>
              <w:rPr>
                <w:rFonts w:ascii="Times New Roman" w:hAnsi="Times New Roman" w:cs="Times New Roman"/>
                <w:b/>
                <w:b/>
                <w:bCs/>
                <w:sz w:val="16"/>
                <w:szCs w:val="16"/>
              </w:rPr>
            </w:pPr>
            <w:r>
              <w:rPr>
                <w:rFonts w:eastAsia="Calibri" w:cs="Times New Roman" w:ascii="Times New Roman" w:hAnsi="Times New Roman"/>
                <w:b/>
                <w:bCs/>
                <w:kern w:val="0"/>
                <w:sz w:val="16"/>
                <w:szCs w:val="16"/>
                <w:lang w:val="pl-PL" w:eastAsia="en-US" w:bidi="ar-SA"/>
              </w:rPr>
              <w:t>MŚP</w:t>
            </w:r>
          </w:p>
        </w:tc>
        <w:tc>
          <w:tcPr>
            <w:tcW w:w="2438" w:type="dxa"/>
            <w:gridSpan w:val="2"/>
            <w:tcBorders>
              <w:top w:val="single" w:sz="18" w:space="0" w:color="000000"/>
              <w:left w:val="single" w:sz="18" w:space="0" w:color="000000"/>
              <w:bottom w:val="single" w:sz="18" w:space="0" w:color="000000"/>
              <w:right w:val="single" w:sz="18" w:space="0" w:color="000000"/>
            </w:tcBorders>
          </w:tcPr>
          <w:p>
            <w:pPr>
              <w:pStyle w:val="Normal"/>
              <w:widowControl w:val="false"/>
              <w:suppressAutoHyphens w:val="true"/>
              <w:spacing w:lineRule="auto" w:line="240" w:before="0" w:after="0"/>
              <w:jc w:val="both"/>
              <w:rPr>
                <w:rFonts w:ascii="Times New Roman" w:hAnsi="Times New Roman" w:cs="Times New Roman"/>
                <w:b/>
                <w:b/>
                <w:bCs/>
                <w:sz w:val="16"/>
                <w:szCs w:val="16"/>
              </w:rPr>
            </w:pPr>
            <w:r>
              <w:rPr>
                <w:rFonts w:eastAsia="Calibri" w:cs="Times New Roman" w:ascii="Times New Roman" w:hAnsi="Times New Roman"/>
                <w:b/>
                <w:bCs/>
                <w:kern w:val="0"/>
                <w:sz w:val="16"/>
                <w:szCs w:val="16"/>
                <w:lang w:val="pl-PL" w:eastAsia="en-US" w:bidi="ar-SA"/>
              </w:rPr>
              <w:t>IOB</w:t>
            </w:r>
          </w:p>
        </w:tc>
        <w:tc>
          <w:tcPr>
            <w:tcW w:w="3423" w:type="dxa"/>
            <w:gridSpan w:val="3"/>
            <w:tcBorders>
              <w:top w:val="single" w:sz="18" w:space="0" w:color="000000"/>
              <w:left w:val="single" w:sz="18" w:space="0" w:color="000000"/>
              <w:bottom w:val="single" w:sz="18" w:space="0" w:color="000000"/>
              <w:right w:val="single" w:sz="18" w:space="0" w:color="000000"/>
            </w:tcBorders>
          </w:tcPr>
          <w:p>
            <w:pPr>
              <w:pStyle w:val="Normal"/>
              <w:widowControl w:val="false"/>
              <w:suppressAutoHyphens w:val="true"/>
              <w:spacing w:lineRule="auto" w:line="240" w:before="0" w:after="0"/>
              <w:jc w:val="both"/>
              <w:rPr>
                <w:rFonts w:ascii="Times New Roman" w:hAnsi="Times New Roman" w:cs="Times New Roman"/>
                <w:b/>
                <w:b/>
                <w:bCs/>
                <w:sz w:val="16"/>
                <w:szCs w:val="16"/>
              </w:rPr>
            </w:pPr>
            <w:r>
              <w:rPr>
                <w:rFonts w:eastAsia="Calibri" w:cs="Times New Roman" w:ascii="Times New Roman" w:hAnsi="Times New Roman"/>
                <w:b/>
                <w:bCs/>
                <w:kern w:val="0"/>
                <w:sz w:val="16"/>
                <w:szCs w:val="16"/>
                <w:lang w:val="pl-PL" w:eastAsia="en-US" w:bidi="ar-SA"/>
              </w:rPr>
              <w:t>Gmina</w:t>
            </w:r>
          </w:p>
        </w:tc>
      </w:tr>
      <w:tr>
        <w:trPr/>
        <w:tc>
          <w:tcPr>
            <w:tcW w:w="970" w:type="dxa"/>
            <w:tcBorders>
              <w:top w:val="single" w:sz="18" w:space="0" w:color="000000"/>
              <w:left w:val="single" w:sz="18" w:space="0" w:color="000000"/>
              <w:bottom w:val="single" w:sz="18" w:space="0" w:color="000000"/>
              <w:right w:val="single" w:sz="18" w:space="0" w:color="000000"/>
            </w:tcBorders>
          </w:tcPr>
          <w:p>
            <w:pPr>
              <w:pStyle w:val="Normal"/>
              <w:widowControl w:val="false"/>
              <w:suppressAutoHyphens w:val="true"/>
              <w:spacing w:lineRule="auto" w:line="240" w:before="0" w:after="0"/>
              <w:jc w:val="both"/>
              <w:rPr>
                <w:rFonts w:ascii="Times New Roman" w:hAnsi="Times New Roman" w:cs="Times New Roman"/>
                <w:b/>
                <w:b/>
                <w:bCs/>
                <w:sz w:val="16"/>
                <w:szCs w:val="16"/>
              </w:rPr>
            </w:pPr>
            <w:r>
              <w:rPr>
                <w:rFonts w:eastAsia="Calibri" w:cs="Times New Roman" w:ascii="Times New Roman" w:hAnsi="Times New Roman"/>
                <w:b/>
                <w:bCs/>
                <w:kern w:val="0"/>
                <w:sz w:val="16"/>
                <w:szCs w:val="16"/>
                <w:lang w:val="pl-PL" w:eastAsia="en-US" w:bidi="ar-SA"/>
              </w:rPr>
              <w:t>Cel strategiczny</w:t>
            </w:r>
          </w:p>
        </w:tc>
        <w:tc>
          <w:tcPr>
            <w:tcW w:w="8241" w:type="dxa"/>
            <w:gridSpan w:val="7"/>
            <w:tcBorders>
              <w:left w:val="single" w:sz="18" w:space="0" w:color="000000"/>
              <w:right w:val="single" w:sz="18" w:space="0" w:color="000000"/>
            </w:tcBorders>
            <w:vAlign w:val="center"/>
          </w:tcPr>
          <w:p>
            <w:pPr>
              <w:pStyle w:val="Normal"/>
              <w:widowControl w:val="false"/>
              <w:suppressAutoHyphens w:val="true"/>
              <w:spacing w:lineRule="auto" w:line="240" w:before="0" w:after="0"/>
              <w:jc w:val="both"/>
              <w:rPr>
                <w:rFonts w:ascii="Times New Roman" w:hAnsi="Times New Roman" w:cs="Times New Roman"/>
                <w:b/>
                <w:b/>
                <w:bCs/>
                <w:sz w:val="16"/>
                <w:szCs w:val="16"/>
                <w:highlight w:val="yellow"/>
              </w:rPr>
            </w:pPr>
            <w:r>
              <w:rPr>
                <w:rFonts w:eastAsia="Calibri" w:cs="Times New Roman" w:ascii="Times New Roman" w:hAnsi="Times New Roman"/>
                <w:b/>
                <w:bCs/>
                <w:kern w:val="0"/>
                <w:sz w:val="16"/>
                <w:szCs w:val="16"/>
                <w:highlight w:val="yellow"/>
                <w:lang w:val="pl-PL" w:eastAsia="en-US" w:bidi="ar-SA"/>
              </w:rPr>
              <w:t>Wzmacnianie przedsiębiorczości poprzez wspieranie konkurencyjności lokalnej gospodarki oraz podnoszenie jakości i atrakcyjności warunków do prowadzenia działalności gospodarczej na terenie gminy</w:t>
            </w:r>
          </w:p>
        </w:tc>
      </w:tr>
      <w:tr>
        <w:trPr/>
        <w:tc>
          <w:tcPr>
            <w:tcW w:w="970" w:type="dxa"/>
            <w:tcBorders>
              <w:top w:val="single" w:sz="18" w:space="0" w:color="000000"/>
              <w:left w:val="single" w:sz="18" w:space="0" w:color="000000"/>
              <w:bottom w:val="single" w:sz="18" w:space="0" w:color="000000"/>
              <w:right w:val="single" w:sz="18" w:space="0" w:color="000000"/>
            </w:tcBorders>
          </w:tcPr>
          <w:p>
            <w:pPr>
              <w:pStyle w:val="Normal"/>
              <w:widowControl w:val="false"/>
              <w:suppressAutoHyphens w:val="true"/>
              <w:spacing w:lineRule="auto" w:line="240" w:before="0" w:after="0"/>
              <w:jc w:val="both"/>
              <w:rPr>
                <w:rFonts w:ascii="Times New Roman" w:hAnsi="Times New Roman" w:cs="Times New Roman"/>
                <w:b/>
                <w:b/>
                <w:bCs/>
                <w:sz w:val="16"/>
                <w:szCs w:val="16"/>
              </w:rPr>
            </w:pPr>
            <w:r>
              <w:rPr>
                <w:rFonts w:eastAsia="Calibri" w:cs="Times New Roman" w:ascii="Times New Roman" w:hAnsi="Times New Roman"/>
                <w:b/>
                <w:bCs/>
                <w:kern w:val="0"/>
                <w:sz w:val="16"/>
                <w:szCs w:val="16"/>
                <w:lang w:val="pl-PL" w:eastAsia="en-US" w:bidi="ar-SA"/>
              </w:rPr>
              <w:t>Priorytety sektorowe</w:t>
            </w:r>
          </w:p>
        </w:tc>
        <w:tc>
          <w:tcPr>
            <w:tcW w:w="1274" w:type="dxa"/>
            <w:tcBorders>
              <w:top w:val="single" w:sz="18" w:space="0" w:color="000000"/>
              <w:left w:val="single" w:sz="18" w:space="0" w:color="000000"/>
              <w:bottom w:val="single" w:sz="18" w:space="0" w:color="000000"/>
            </w:tcBorders>
          </w:tcPr>
          <w:p>
            <w:pPr>
              <w:pStyle w:val="Normal"/>
              <w:widowControl w:val="false"/>
              <w:suppressAutoHyphens w:val="true"/>
              <w:spacing w:lineRule="auto" w:line="240" w:before="0" w:after="0"/>
              <w:jc w:val="both"/>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PS1. Działania inwestycyjne ukierunkowanie na rozwój i poprawę konkurencyjności MSP</w:t>
            </w:r>
          </w:p>
        </w:tc>
        <w:tc>
          <w:tcPr>
            <w:tcW w:w="1106" w:type="dxa"/>
            <w:tcBorders>
              <w:top w:val="single" w:sz="18" w:space="0" w:color="000000"/>
              <w:bottom w:val="single" w:sz="18" w:space="0" w:color="000000"/>
              <w:right w:val="single" w:sz="18" w:space="0" w:color="000000"/>
            </w:tcBorders>
          </w:tcPr>
          <w:p>
            <w:pPr>
              <w:pStyle w:val="Normal"/>
              <w:widowControl w:val="false"/>
              <w:suppressAutoHyphens w:val="true"/>
              <w:spacing w:lineRule="auto" w:line="240" w:before="0" w:after="0"/>
              <w:jc w:val="both"/>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PS2. Działania pozainwestycyjne ukierunkowanie na rozwój i poprawę konkurencyjności MSP</w:t>
            </w:r>
          </w:p>
        </w:tc>
        <w:tc>
          <w:tcPr>
            <w:tcW w:w="1022" w:type="dxa"/>
            <w:tcBorders>
              <w:top w:val="single" w:sz="18" w:space="0" w:color="000000"/>
              <w:left w:val="single" w:sz="18" w:space="0" w:color="000000"/>
              <w:bottom w:val="single" w:sz="18" w:space="0" w:color="000000"/>
            </w:tcBorders>
          </w:tcPr>
          <w:p>
            <w:pPr>
              <w:pStyle w:val="Normal"/>
              <w:widowControl w:val="false"/>
              <w:suppressAutoHyphens w:val="true"/>
              <w:spacing w:lineRule="auto" w:line="240" w:before="0" w:after="0"/>
              <w:jc w:val="both"/>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PS3. Działania inwestycyjne ukierunkowanie na rozwój i poprawę konkurencyjności Instytucji Otoczenia Biznesu</w:t>
            </w:r>
          </w:p>
        </w:tc>
        <w:tc>
          <w:tcPr>
            <w:tcW w:w="1416" w:type="dxa"/>
            <w:tcBorders>
              <w:top w:val="single" w:sz="18" w:space="0" w:color="000000"/>
              <w:bottom w:val="single" w:sz="18" w:space="0" w:color="000000"/>
              <w:right w:val="single" w:sz="18" w:space="0" w:color="000000"/>
            </w:tcBorders>
          </w:tcPr>
          <w:p>
            <w:pPr>
              <w:pStyle w:val="Normal"/>
              <w:widowControl w:val="false"/>
              <w:suppressAutoHyphens w:val="true"/>
              <w:spacing w:lineRule="auto" w:line="240" w:before="0" w:after="0"/>
              <w:jc w:val="both"/>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PS4. Działania pozainwestycyjne ukierunkowanie na rozwój i poprawę konkurencyjności Instytucji Otoczenia Biznesu</w:t>
            </w:r>
          </w:p>
        </w:tc>
        <w:tc>
          <w:tcPr>
            <w:tcW w:w="805" w:type="dxa"/>
            <w:tcBorders>
              <w:top w:val="single" w:sz="18" w:space="0" w:color="000000"/>
              <w:left w:val="single" w:sz="18" w:space="0" w:color="000000"/>
              <w:bottom w:val="single" w:sz="18" w:space="0" w:color="000000"/>
            </w:tcBorders>
          </w:tcPr>
          <w:p>
            <w:pPr>
              <w:pStyle w:val="Normal"/>
              <w:widowControl w:val="false"/>
              <w:suppressAutoHyphens w:val="true"/>
              <w:spacing w:lineRule="auto" w:line="240" w:before="0" w:after="0"/>
              <w:jc w:val="both"/>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PS5. Działania związane z polityką fiskalną inicjowaną przez Gminę</w:t>
            </w:r>
          </w:p>
        </w:tc>
        <w:tc>
          <w:tcPr>
            <w:tcW w:w="1321" w:type="dxa"/>
            <w:tcBorders>
              <w:top w:val="single" w:sz="18" w:space="0" w:color="000000"/>
              <w:bottom w:val="single" w:sz="18" w:space="0" w:color="000000"/>
            </w:tcBorders>
          </w:tcPr>
          <w:p>
            <w:pPr>
              <w:pStyle w:val="Normal"/>
              <w:widowControl w:val="false"/>
              <w:suppressAutoHyphens w:val="true"/>
              <w:spacing w:lineRule="auto" w:line="240" w:before="0" w:after="0"/>
              <w:jc w:val="both"/>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PS6. Działania inwestycyjne ukierunkowanie na rozwój i poprawę konkurencyjności Gminy</w:t>
            </w:r>
          </w:p>
        </w:tc>
        <w:tc>
          <w:tcPr>
            <w:tcW w:w="1297" w:type="dxa"/>
            <w:tcBorders>
              <w:top w:val="single" w:sz="18" w:space="0" w:color="000000"/>
              <w:bottom w:val="single" w:sz="18" w:space="0" w:color="000000"/>
              <w:right w:val="single" w:sz="18" w:space="0" w:color="000000"/>
            </w:tcBorders>
          </w:tcPr>
          <w:p>
            <w:pPr>
              <w:pStyle w:val="Normal"/>
              <w:widowControl w:val="false"/>
              <w:suppressAutoHyphens w:val="true"/>
              <w:spacing w:lineRule="auto" w:line="240" w:before="0" w:after="0"/>
              <w:jc w:val="both"/>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PS7. Działania pozainwestycyjne ukierunkowanie na rozwój i poprawę konkurencyjności Gminy</w:t>
            </w:r>
          </w:p>
        </w:tc>
      </w:tr>
      <w:tr>
        <w:trPr/>
        <w:tc>
          <w:tcPr>
            <w:tcW w:w="970" w:type="dxa"/>
            <w:tcBorders>
              <w:top w:val="single" w:sz="18" w:space="0" w:color="000000"/>
              <w:left w:val="single" w:sz="18" w:space="0" w:color="000000"/>
              <w:bottom w:val="single" w:sz="18" w:space="0" w:color="000000"/>
            </w:tcBorders>
          </w:tcPr>
          <w:p>
            <w:pPr>
              <w:pStyle w:val="Normal"/>
              <w:widowControl w:val="false"/>
              <w:suppressAutoHyphens w:val="true"/>
              <w:spacing w:lineRule="auto" w:line="240" w:before="0" w:after="0"/>
              <w:jc w:val="both"/>
              <w:rPr>
                <w:rFonts w:ascii="Times New Roman" w:hAnsi="Times New Roman" w:cs="Times New Roman"/>
                <w:b/>
                <w:b/>
                <w:bCs/>
                <w:sz w:val="16"/>
                <w:szCs w:val="16"/>
              </w:rPr>
            </w:pPr>
            <w:r>
              <w:rPr>
                <w:rFonts w:eastAsia="Calibri" w:cs="Times New Roman" w:ascii="Times New Roman" w:hAnsi="Times New Roman"/>
                <w:b/>
                <w:bCs/>
                <w:kern w:val="0"/>
                <w:sz w:val="16"/>
                <w:szCs w:val="16"/>
                <w:lang w:val="pl-PL" w:eastAsia="en-US" w:bidi="ar-SA"/>
              </w:rPr>
              <w:t xml:space="preserve">Cel horyzontalny 1 </w:t>
            </w:r>
          </w:p>
        </w:tc>
        <w:tc>
          <w:tcPr>
            <w:tcW w:w="8241" w:type="dxa"/>
            <w:gridSpan w:val="7"/>
            <w:tcBorders>
              <w:right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b/>
                <w:b/>
                <w:bCs/>
                <w:sz w:val="16"/>
                <w:szCs w:val="16"/>
                <w:highlight w:val="green"/>
              </w:rPr>
            </w:pPr>
            <w:r>
              <w:rPr>
                <w:rFonts w:eastAsia="Calibri" w:cs="Times New Roman" w:ascii="Times New Roman" w:hAnsi="Times New Roman"/>
                <w:b/>
                <w:bCs/>
                <w:kern w:val="0"/>
                <w:sz w:val="16"/>
                <w:szCs w:val="16"/>
                <w:highlight w:val="green"/>
                <w:lang w:val="pl-PL" w:eastAsia="en-US" w:bidi="ar-SA"/>
              </w:rPr>
              <w:t>WZROST INNOWACYJNOŚCI I KONKURENCYJNOŚCI</w:t>
            </w:r>
          </w:p>
        </w:tc>
      </w:tr>
      <w:tr>
        <w:trPr/>
        <w:tc>
          <w:tcPr>
            <w:tcW w:w="970" w:type="dxa"/>
            <w:tcBorders>
              <w:top w:val="single" w:sz="18" w:space="0" w:color="000000"/>
              <w:left w:val="single" w:sz="18" w:space="0" w:color="000000"/>
              <w:right w:val="single" w:sz="18" w:space="0" w:color="000000"/>
            </w:tcBorders>
          </w:tcPr>
          <w:p>
            <w:pPr>
              <w:pStyle w:val="Normal"/>
              <w:widowControl w:val="false"/>
              <w:suppressAutoHyphens w:val="true"/>
              <w:spacing w:lineRule="auto" w:line="240" w:before="0" w:after="0"/>
              <w:jc w:val="both"/>
              <w:rPr>
                <w:rFonts w:ascii="Times New Roman" w:hAnsi="Times New Roman" w:cs="Times New Roman"/>
                <w:sz w:val="16"/>
                <w:szCs w:val="16"/>
              </w:rPr>
            </w:pPr>
            <w:r>
              <w:rPr>
                <w:rFonts w:eastAsia="Calibri" w:cs="Times New Roman" w:ascii="Times New Roman" w:hAnsi="Times New Roman"/>
                <w:kern w:val="0"/>
                <w:sz w:val="16"/>
                <w:szCs w:val="16"/>
                <w:lang w:val="pl-PL" w:eastAsia="en-US" w:bidi="ar-SA"/>
              </w:rPr>
              <w:t xml:space="preserve">Cel operacyjny </w:t>
            </w:r>
          </w:p>
        </w:tc>
        <w:tc>
          <w:tcPr>
            <w:tcW w:w="1274" w:type="dxa"/>
            <w:tcBorders>
              <w:top w:val="single" w:sz="18" w:space="0" w:color="000000"/>
              <w:left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 xml:space="preserve">Infrastruktura techniczna dopasowana do potrzeb przedsiębiorców </w:t>
            </w:r>
          </w:p>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cs="Times New Roman" w:ascii="Times New Roman" w:hAnsi="Times New Roman"/>
                <w:color w:val="000000" w:themeColor="text1"/>
                <w:sz w:val="16"/>
                <w:szCs w:val="16"/>
              </w:rPr>
            </w:r>
          </w:p>
        </w:tc>
        <w:tc>
          <w:tcPr>
            <w:tcW w:w="1106" w:type="dxa"/>
            <w:tcBorders>
              <w:top w:val="single" w:sz="18" w:space="0" w:color="000000"/>
              <w:right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Przedsiębiorcy aktywnie korzystający ze środków UE</w:t>
            </w:r>
          </w:p>
        </w:tc>
        <w:tc>
          <w:tcPr>
            <w:tcW w:w="1022" w:type="dxa"/>
            <w:tcBorders>
              <w:top w:val="single" w:sz="18" w:space="0" w:color="000000"/>
              <w:left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N/d</w:t>
            </w:r>
          </w:p>
        </w:tc>
        <w:tc>
          <w:tcPr>
            <w:tcW w:w="1416" w:type="dxa"/>
            <w:tcBorders>
              <w:top w:val="single" w:sz="18" w:space="0" w:color="000000"/>
              <w:right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Promowanie samozatrudnienia</w:t>
            </w:r>
          </w:p>
        </w:tc>
        <w:tc>
          <w:tcPr>
            <w:tcW w:w="805" w:type="dxa"/>
            <w:tcBorders>
              <w:top w:val="single" w:sz="18" w:space="0" w:color="000000"/>
              <w:left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Preferencje fiskalne  dla firm</w:t>
            </w:r>
          </w:p>
        </w:tc>
        <w:tc>
          <w:tcPr>
            <w:tcW w:w="1321" w:type="dxa"/>
            <w:tcBorders>
              <w:top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Rozwój infrastruktury sportowo - rekreacyjnej</w:t>
            </w:r>
          </w:p>
        </w:tc>
        <w:tc>
          <w:tcPr>
            <w:tcW w:w="1297" w:type="dxa"/>
            <w:tcBorders>
              <w:top w:val="single" w:sz="18" w:space="0" w:color="000000"/>
              <w:right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N/d</w:t>
            </w:r>
          </w:p>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cs="Times New Roman" w:ascii="Times New Roman" w:hAnsi="Times New Roman"/>
                <w:color w:val="000000" w:themeColor="text1"/>
                <w:sz w:val="16"/>
                <w:szCs w:val="16"/>
              </w:rPr>
            </w:r>
          </w:p>
        </w:tc>
      </w:tr>
      <w:tr>
        <w:trPr/>
        <w:tc>
          <w:tcPr>
            <w:tcW w:w="970" w:type="dxa"/>
            <w:tcBorders>
              <w:left w:val="single" w:sz="18" w:space="0" w:color="000000"/>
              <w:right w:val="single" w:sz="18" w:space="0" w:color="000000"/>
            </w:tcBorders>
          </w:tcPr>
          <w:p>
            <w:pPr>
              <w:pStyle w:val="Normal"/>
              <w:widowControl w:val="false"/>
              <w:suppressAutoHyphens w:val="true"/>
              <w:spacing w:lineRule="auto" w:line="240" w:before="0" w:after="0"/>
              <w:jc w:val="both"/>
              <w:rPr>
                <w:rFonts w:ascii="Times New Roman" w:hAnsi="Times New Roman" w:cs="Times New Roman"/>
                <w:sz w:val="16"/>
                <w:szCs w:val="16"/>
              </w:rPr>
            </w:pPr>
            <w:r>
              <w:rPr>
                <w:rFonts w:eastAsia="Calibri" w:cs="Times New Roman" w:ascii="Times New Roman" w:hAnsi="Times New Roman"/>
                <w:kern w:val="0"/>
                <w:sz w:val="16"/>
                <w:szCs w:val="16"/>
                <w:lang w:val="pl-PL" w:eastAsia="en-US" w:bidi="ar-SA"/>
              </w:rPr>
              <w:t>Wstępna propozycja projektu</w:t>
            </w:r>
          </w:p>
        </w:tc>
        <w:tc>
          <w:tcPr>
            <w:tcW w:w="1274" w:type="dxa"/>
            <w:tcBorders>
              <w:left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Rozwój infrastruktury wodno-ściekowej na terenie gminy Choceń</w:t>
            </w:r>
          </w:p>
        </w:tc>
        <w:tc>
          <w:tcPr>
            <w:tcW w:w="1106" w:type="dxa"/>
            <w:tcBorders>
              <w:right w:val="single" w:sz="18" w:space="0" w:color="000000"/>
            </w:tcBorders>
            <w:vAlign w:val="center"/>
          </w:tcPr>
          <w:p>
            <w:pPr>
              <w:pStyle w:val="Normal"/>
              <w:widowControl w:val="false"/>
              <w:suppressAutoHyphens w:val="true"/>
              <w:spacing w:lineRule="auto" w:line="240" w:before="0" w:after="0"/>
              <w:jc w:val="left"/>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Utworzenie Lokalnej Organizacji Gospodarczej na terenie Gminy Choceń</w:t>
            </w:r>
          </w:p>
        </w:tc>
        <w:tc>
          <w:tcPr>
            <w:tcW w:w="1022" w:type="dxa"/>
            <w:tcBorders>
              <w:left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N/d</w:t>
            </w:r>
          </w:p>
        </w:tc>
        <w:tc>
          <w:tcPr>
            <w:tcW w:w="1416" w:type="dxa"/>
            <w:tcBorders>
              <w:right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Promocja samozatrudnienia w gminie Choceń – Punkt wspierania przedsiębiorczości</w:t>
            </w:r>
          </w:p>
        </w:tc>
        <w:tc>
          <w:tcPr>
            <w:tcW w:w="805" w:type="dxa"/>
            <w:tcBorders>
              <w:left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N/d</w:t>
            </w:r>
          </w:p>
        </w:tc>
        <w:tc>
          <w:tcPr>
            <w:tcW w:w="1321" w:type="dxa"/>
            <w:tcBorders/>
            <w:vAlign w:val="center"/>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Rozwój infrastruktury sportowo - rekreacyjnej</w:t>
            </w:r>
          </w:p>
        </w:tc>
        <w:tc>
          <w:tcPr>
            <w:tcW w:w="1297" w:type="dxa"/>
            <w:tcBorders>
              <w:right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N/d</w:t>
            </w:r>
          </w:p>
        </w:tc>
      </w:tr>
      <w:tr>
        <w:trPr/>
        <w:tc>
          <w:tcPr>
            <w:tcW w:w="970" w:type="dxa"/>
            <w:tcBorders>
              <w:left w:val="single" w:sz="18" w:space="0" w:color="000000"/>
              <w:bottom w:val="single" w:sz="18" w:space="0" w:color="000000"/>
              <w:right w:val="single" w:sz="18" w:space="0" w:color="000000"/>
            </w:tcBorders>
          </w:tcPr>
          <w:p>
            <w:pPr>
              <w:pStyle w:val="Normal"/>
              <w:widowControl w:val="false"/>
              <w:suppressAutoHyphens w:val="true"/>
              <w:spacing w:lineRule="auto" w:line="240" w:before="0" w:after="0"/>
              <w:jc w:val="both"/>
              <w:rPr>
                <w:rFonts w:ascii="Times New Roman" w:hAnsi="Times New Roman" w:cs="Times New Roman"/>
                <w:sz w:val="16"/>
                <w:szCs w:val="16"/>
              </w:rPr>
            </w:pPr>
            <w:r>
              <w:rPr>
                <w:rFonts w:eastAsia="Calibri" w:cs="Times New Roman" w:ascii="Times New Roman" w:hAnsi="Times New Roman"/>
                <w:kern w:val="0"/>
                <w:sz w:val="16"/>
                <w:szCs w:val="16"/>
                <w:lang w:val="pl-PL" w:eastAsia="en-US" w:bidi="ar-SA"/>
              </w:rPr>
              <w:t>Wskaźnik</w:t>
            </w:r>
          </w:p>
        </w:tc>
        <w:tc>
          <w:tcPr>
            <w:tcW w:w="1274" w:type="dxa"/>
            <w:tcBorders>
              <w:left w:val="single" w:sz="18" w:space="0" w:color="000000"/>
              <w:bottom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N/d</w:t>
            </w:r>
          </w:p>
        </w:tc>
        <w:tc>
          <w:tcPr>
            <w:tcW w:w="1106" w:type="dxa"/>
            <w:tcBorders>
              <w:bottom w:val="single" w:sz="18" w:space="0" w:color="000000"/>
              <w:right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 xml:space="preserve">Zgodnie z fiszką </w:t>
            </w:r>
          </w:p>
        </w:tc>
        <w:tc>
          <w:tcPr>
            <w:tcW w:w="1022" w:type="dxa"/>
            <w:tcBorders>
              <w:left w:val="single" w:sz="18" w:space="0" w:color="000000"/>
              <w:bottom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N/d</w:t>
            </w:r>
          </w:p>
        </w:tc>
        <w:tc>
          <w:tcPr>
            <w:tcW w:w="1416" w:type="dxa"/>
            <w:tcBorders>
              <w:bottom w:val="single" w:sz="18" w:space="0" w:color="000000"/>
              <w:right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Zgodnie z fiszką</w:t>
            </w:r>
          </w:p>
        </w:tc>
        <w:tc>
          <w:tcPr>
            <w:tcW w:w="805" w:type="dxa"/>
            <w:tcBorders>
              <w:left w:val="single" w:sz="18" w:space="0" w:color="000000"/>
              <w:bottom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N/d</w:t>
            </w:r>
          </w:p>
        </w:tc>
        <w:tc>
          <w:tcPr>
            <w:tcW w:w="1321" w:type="dxa"/>
            <w:tcBorders>
              <w:bottom w:val="single" w:sz="18" w:space="0" w:color="000000"/>
            </w:tcBorders>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 xml:space="preserve">Zgodnie z fiszką </w:t>
            </w:r>
          </w:p>
        </w:tc>
        <w:tc>
          <w:tcPr>
            <w:tcW w:w="1297" w:type="dxa"/>
            <w:tcBorders>
              <w:bottom w:val="single" w:sz="18" w:space="0" w:color="000000"/>
              <w:right w:val="single" w:sz="18" w:space="0" w:color="000000"/>
            </w:tcBorders>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 xml:space="preserve">N/d </w:t>
            </w:r>
          </w:p>
        </w:tc>
      </w:tr>
      <w:tr>
        <w:trPr/>
        <w:tc>
          <w:tcPr>
            <w:tcW w:w="970" w:type="dxa"/>
            <w:tcBorders>
              <w:top w:val="single" w:sz="18" w:space="0" w:color="000000"/>
              <w:left w:val="single" w:sz="18" w:space="0" w:color="000000"/>
              <w:right w:val="single" w:sz="18" w:space="0" w:color="000000"/>
            </w:tcBorders>
          </w:tcPr>
          <w:p>
            <w:pPr>
              <w:pStyle w:val="Normal"/>
              <w:widowControl w:val="false"/>
              <w:suppressAutoHyphens w:val="true"/>
              <w:spacing w:lineRule="auto" w:line="240" w:before="0" w:after="0"/>
              <w:jc w:val="both"/>
              <w:rPr>
                <w:rFonts w:ascii="Times New Roman" w:hAnsi="Times New Roman" w:cs="Times New Roman"/>
                <w:b/>
                <w:b/>
                <w:bCs/>
                <w:sz w:val="16"/>
                <w:szCs w:val="16"/>
              </w:rPr>
            </w:pPr>
            <w:r>
              <w:rPr>
                <w:rFonts w:eastAsia="Calibri" w:cs="Times New Roman" w:ascii="Times New Roman" w:hAnsi="Times New Roman"/>
                <w:b/>
                <w:bCs/>
                <w:kern w:val="0"/>
                <w:sz w:val="16"/>
                <w:szCs w:val="16"/>
                <w:lang w:val="pl-PL" w:eastAsia="en-US" w:bidi="ar-SA"/>
              </w:rPr>
              <w:t>Cel horyzontalny 2</w:t>
            </w:r>
          </w:p>
        </w:tc>
        <w:tc>
          <w:tcPr>
            <w:tcW w:w="8241" w:type="dxa"/>
            <w:gridSpan w:val="7"/>
            <w:tcBorders>
              <w:top w:val="single" w:sz="18" w:space="0" w:color="000000"/>
              <w:left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b/>
                <w:b/>
                <w:bCs/>
                <w:color w:val="000000" w:themeColor="text1"/>
                <w:sz w:val="16"/>
                <w:szCs w:val="16"/>
              </w:rPr>
            </w:pPr>
            <w:r>
              <w:rPr>
                <w:rFonts w:eastAsia="Calibri" w:cs="Times New Roman" w:ascii="Times New Roman" w:hAnsi="Times New Roman"/>
                <w:b/>
                <w:bCs/>
                <w:color w:val="000000" w:themeColor="text1"/>
                <w:kern w:val="0"/>
                <w:sz w:val="16"/>
                <w:szCs w:val="16"/>
                <w:highlight w:val="cyan"/>
                <w:lang w:val="pl-PL" w:eastAsia="en-US" w:bidi="ar-SA"/>
              </w:rPr>
              <w:t>WZROST PRODUKTYWNOŚCI</w:t>
            </w:r>
            <w:bookmarkStart w:id="36" w:name="_Hlk76710357"/>
            <w:bookmarkEnd w:id="36"/>
          </w:p>
        </w:tc>
      </w:tr>
      <w:tr>
        <w:trPr/>
        <w:tc>
          <w:tcPr>
            <w:tcW w:w="970" w:type="dxa"/>
            <w:tcBorders>
              <w:left w:val="single" w:sz="18" w:space="0" w:color="000000"/>
              <w:right w:val="single" w:sz="18" w:space="0" w:color="000000"/>
            </w:tcBorders>
          </w:tcPr>
          <w:p>
            <w:pPr>
              <w:pStyle w:val="Normal"/>
              <w:widowControl w:val="false"/>
              <w:suppressAutoHyphens w:val="true"/>
              <w:spacing w:lineRule="auto" w:line="240" w:before="0" w:after="0"/>
              <w:jc w:val="both"/>
              <w:rPr>
                <w:rFonts w:ascii="Times New Roman" w:hAnsi="Times New Roman" w:cs="Times New Roman"/>
                <w:sz w:val="16"/>
                <w:szCs w:val="16"/>
              </w:rPr>
            </w:pPr>
            <w:r>
              <w:rPr>
                <w:rFonts w:eastAsia="Calibri" w:cs="Times New Roman" w:ascii="Times New Roman" w:hAnsi="Times New Roman"/>
                <w:kern w:val="0"/>
                <w:sz w:val="16"/>
                <w:szCs w:val="16"/>
                <w:lang w:val="pl-PL" w:eastAsia="en-US" w:bidi="ar-SA"/>
              </w:rPr>
              <w:t xml:space="preserve">Cel Operacyjny </w:t>
            </w:r>
          </w:p>
        </w:tc>
        <w:tc>
          <w:tcPr>
            <w:tcW w:w="1274" w:type="dxa"/>
            <w:tcBorders>
              <w:top w:val="single" w:sz="18" w:space="0" w:color="000000"/>
              <w:left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 xml:space="preserve">Infrastruktura techniczna dopasowana do potrzeb przedsiębiorców </w:t>
            </w:r>
          </w:p>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cs="Times New Roman" w:ascii="Times New Roman" w:hAnsi="Times New Roman"/>
                <w:color w:val="000000" w:themeColor="text1"/>
                <w:sz w:val="16"/>
                <w:szCs w:val="16"/>
              </w:rPr>
            </w:r>
          </w:p>
        </w:tc>
        <w:tc>
          <w:tcPr>
            <w:tcW w:w="1106" w:type="dxa"/>
            <w:tcBorders>
              <w:top w:val="single" w:sz="18" w:space="0" w:color="000000"/>
              <w:right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Poprawa dostępu do wykwalifikowanej kadry oraz niwelowanie bezrobocia</w:t>
            </w:r>
          </w:p>
        </w:tc>
        <w:tc>
          <w:tcPr>
            <w:tcW w:w="1022" w:type="dxa"/>
            <w:tcBorders>
              <w:top w:val="single" w:sz="18" w:space="0" w:color="000000"/>
              <w:left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N/d</w:t>
            </w:r>
          </w:p>
        </w:tc>
        <w:tc>
          <w:tcPr>
            <w:tcW w:w="1416" w:type="dxa"/>
            <w:tcBorders>
              <w:top w:val="single" w:sz="18" w:space="0" w:color="000000"/>
              <w:right w:val="single" w:sz="18" w:space="0" w:color="000000"/>
            </w:tcBorders>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Promocja kursów i szkoleń  podnoszących kwalifikacje mieszkańców</w:t>
            </w:r>
          </w:p>
        </w:tc>
        <w:tc>
          <w:tcPr>
            <w:tcW w:w="805" w:type="dxa"/>
            <w:tcBorders>
              <w:top w:val="single" w:sz="18" w:space="0" w:color="000000"/>
              <w:left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N/d</w:t>
            </w:r>
          </w:p>
        </w:tc>
        <w:tc>
          <w:tcPr>
            <w:tcW w:w="1321" w:type="dxa"/>
            <w:tcBorders>
              <w:top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Rozwój infrastruktury sportowo - rekreacyjnej</w:t>
            </w:r>
          </w:p>
        </w:tc>
        <w:tc>
          <w:tcPr>
            <w:tcW w:w="1297" w:type="dxa"/>
            <w:tcBorders>
              <w:top w:val="single" w:sz="18" w:space="0" w:color="000000"/>
              <w:right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N/d</w:t>
            </w:r>
          </w:p>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cs="Times New Roman" w:ascii="Times New Roman" w:hAnsi="Times New Roman"/>
                <w:color w:val="000000" w:themeColor="text1"/>
                <w:sz w:val="16"/>
                <w:szCs w:val="16"/>
              </w:rPr>
            </w:r>
          </w:p>
        </w:tc>
      </w:tr>
      <w:tr>
        <w:trPr/>
        <w:tc>
          <w:tcPr>
            <w:tcW w:w="970" w:type="dxa"/>
            <w:tcBorders>
              <w:left w:val="single" w:sz="18" w:space="0" w:color="000000"/>
              <w:right w:val="single" w:sz="18" w:space="0" w:color="000000"/>
            </w:tcBorders>
          </w:tcPr>
          <w:p>
            <w:pPr>
              <w:pStyle w:val="Normal"/>
              <w:widowControl w:val="false"/>
              <w:suppressAutoHyphens w:val="true"/>
              <w:spacing w:lineRule="auto" w:line="240" w:before="0" w:after="0"/>
              <w:jc w:val="both"/>
              <w:rPr>
                <w:rFonts w:ascii="Times New Roman" w:hAnsi="Times New Roman" w:cs="Times New Roman"/>
                <w:sz w:val="16"/>
                <w:szCs w:val="16"/>
              </w:rPr>
            </w:pPr>
            <w:r>
              <w:rPr>
                <w:rFonts w:eastAsia="Calibri" w:cs="Times New Roman" w:ascii="Times New Roman" w:hAnsi="Times New Roman"/>
                <w:kern w:val="0"/>
                <w:sz w:val="16"/>
                <w:szCs w:val="16"/>
                <w:lang w:val="pl-PL" w:eastAsia="en-US" w:bidi="ar-SA"/>
              </w:rPr>
              <w:t>Wstępna propozycja projektu</w:t>
            </w:r>
          </w:p>
        </w:tc>
        <w:tc>
          <w:tcPr>
            <w:tcW w:w="1274" w:type="dxa"/>
            <w:tcBorders>
              <w:left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Rozwój infrastruktury wodno-ściekowej na terenie gminy Choceń</w:t>
            </w:r>
          </w:p>
        </w:tc>
        <w:tc>
          <w:tcPr>
            <w:tcW w:w="1106" w:type="dxa"/>
            <w:tcBorders>
              <w:right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Przeciwdziałanie wykluczeniu społecznemu– aktywizacja zawodowa</w:t>
            </w:r>
          </w:p>
        </w:tc>
        <w:tc>
          <w:tcPr>
            <w:tcW w:w="1022" w:type="dxa"/>
            <w:tcBorders>
              <w:left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N/d</w:t>
            </w:r>
          </w:p>
        </w:tc>
        <w:tc>
          <w:tcPr>
            <w:tcW w:w="1416" w:type="dxa"/>
            <w:tcBorders>
              <w:right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Wspierania kształcenia dostosowanego do potrzeb lokalnego rynku</w:t>
            </w:r>
          </w:p>
        </w:tc>
        <w:tc>
          <w:tcPr>
            <w:tcW w:w="805" w:type="dxa"/>
            <w:tcBorders>
              <w:left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N.d</w:t>
            </w:r>
          </w:p>
        </w:tc>
        <w:tc>
          <w:tcPr>
            <w:tcW w:w="1321" w:type="dxa"/>
            <w:tcBorders/>
            <w:vAlign w:val="center"/>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Rozwój infrastruktury sportowo - rekreacyjnej</w:t>
            </w:r>
          </w:p>
        </w:tc>
        <w:tc>
          <w:tcPr>
            <w:tcW w:w="1297" w:type="dxa"/>
            <w:tcBorders>
              <w:right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N/d</w:t>
            </w:r>
          </w:p>
        </w:tc>
      </w:tr>
      <w:tr>
        <w:trPr/>
        <w:tc>
          <w:tcPr>
            <w:tcW w:w="970" w:type="dxa"/>
            <w:tcBorders>
              <w:left w:val="single" w:sz="18" w:space="0" w:color="000000"/>
              <w:bottom w:val="single" w:sz="18" w:space="0" w:color="000000"/>
              <w:right w:val="single" w:sz="18" w:space="0" w:color="000000"/>
            </w:tcBorders>
          </w:tcPr>
          <w:p>
            <w:pPr>
              <w:pStyle w:val="Normal"/>
              <w:widowControl w:val="false"/>
              <w:suppressAutoHyphens w:val="true"/>
              <w:spacing w:lineRule="auto" w:line="240" w:before="0" w:after="0"/>
              <w:jc w:val="both"/>
              <w:rPr>
                <w:rFonts w:ascii="Times New Roman" w:hAnsi="Times New Roman" w:cs="Times New Roman"/>
                <w:sz w:val="16"/>
                <w:szCs w:val="16"/>
              </w:rPr>
            </w:pPr>
            <w:r>
              <w:rPr>
                <w:rFonts w:eastAsia="Calibri" w:cs="Times New Roman" w:ascii="Times New Roman" w:hAnsi="Times New Roman"/>
                <w:kern w:val="0"/>
                <w:sz w:val="16"/>
                <w:szCs w:val="16"/>
                <w:lang w:val="pl-PL" w:eastAsia="en-US" w:bidi="ar-SA"/>
              </w:rPr>
              <w:t>Wskaźnik</w:t>
            </w:r>
          </w:p>
        </w:tc>
        <w:tc>
          <w:tcPr>
            <w:tcW w:w="1274" w:type="dxa"/>
            <w:tcBorders>
              <w:left w:val="single" w:sz="18" w:space="0" w:color="000000"/>
              <w:bottom w:val="single" w:sz="18" w:space="0" w:color="000000"/>
            </w:tcBorders>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 xml:space="preserve">Zgodnie z fiszką </w:t>
            </w:r>
          </w:p>
        </w:tc>
        <w:tc>
          <w:tcPr>
            <w:tcW w:w="1106" w:type="dxa"/>
            <w:tcBorders>
              <w:bottom w:val="single" w:sz="18" w:space="0" w:color="000000"/>
              <w:right w:val="single" w:sz="18" w:space="0" w:color="000000"/>
            </w:tcBorders>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 xml:space="preserve">Zgodnie z fiszką </w:t>
            </w:r>
          </w:p>
        </w:tc>
        <w:tc>
          <w:tcPr>
            <w:tcW w:w="1022" w:type="dxa"/>
            <w:tcBorders>
              <w:left w:val="single" w:sz="18" w:space="0" w:color="000000"/>
              <w:bottom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N/d</w:t>
            </w:r>
          </w:p>
        </w:tc>
        <w:tc>
          <w:tcPr>
            <w:tcW w:w="1416" w:type="dxa"/>
            <w:tcBorders>
              <w:bottom w:val="single" w:sz="18" w:space="0" w:color="000000"/>
              <w:right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Zgodnie z fiszką</w:t>
            </w:r>
          </w:p>
        </w:tc>
        <w:tc>
          <w:tcPr>
            <w:tcW w:w="805" w:type="dxa"/>
            <w:tcBorders>
              <w:left w:val="single" w:sz="18" w:space="0" w:color="000000"/>
              <w:bottom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N/d</w:t>
            </w:r>
          </w:p>
        </w:tc>
        <w:tc>
          <w:tcPr>
            <w:tcW w:w="1321" w:type="dxa"/>
            <w:tcBorders>
              <w:bottom w:val="single" w:sz="18" w:space="0" w:color="000000"/>
            </w:tcBorders>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 xml:space="preserve">Zgodnie z fiszką </w:t>
            </w:r>
          </w:p>
        </w:tc>
        <w:tc>
          <w:tcPr>
            <w:tcW w:w="1297" w:type="dxa"/>
            <w:tcBorders>
              <w:bottom w:val="single" w:sz="18" w:space="0" w:color="000000"/>
              <w:right w:val="single" w:sz="18" w:space="0" w:color="000000"/>
            </w:tcBorders>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 xml:space="preserve">N/d </w:t>
            </w:r>
          </w:p>
        </w:tc>
      </w:tr>
      <w:tr>
        <w:trPr/>
        <w:tc>
          <w:tcPr>
            <w:tcW w:w="970" w:type="dxa"/>
            <w:tcBorders>
              <w:top w:val="single" w:sz="18" w:space="0" w:color="000000"/>
              <w:left w:val="single" w:sz="18" w:space="0" w:color="000000"/>
              <w:right w:val="single" w:sz="18" w:space="0" w:color="000000"/>
            </w:tcBorders>
          </w:tcPr>
          <w:p>
            <w:pPr>
              <w:pStyle w:val="Normal"/>
              <w:widowControl w:val="false"/>
              <w:suppressAutoHyphens w:val="true"/>
              <w:spacing w:lineRule="auto" w:line="240" w:before="0" w:after="0"/>
              <w:jc w:val="both"/>
              <w:rPr>
                <w:rFonts w:ascii="Times New Roman" w:hAnsi="Times New Roman" w:cs="Times New Roman"/>
                <w:b/>
                <w:b/>
                <w:bCs/>
                <w:sz w:val="16"/>
                <w:szCs w:val="16"/>
              </w:rPr>
            </w:pPr>
            <w:r>
              <w:rPr>
                <w:rFonts w:eastAsia="Calibri" w:cs="Times New Roman" w:ascii="Times New Roman" w:hAnsi="Times New Roman"/>
                <w:b/>
                <w:bCs/>
                <w:kern w:val="0"/>
                <w:sz w:val="16"/>
                <w:szCs w:val="16"/>
                <w:lang w:val="pl-PL" w:eastAsia="en-US" w:bidi="ar-SA"/>
              </w:rPr>
              <w:t>Cel horyzontalny 3</w:t>
            </w:r>
          </w:p>
        </w:tc>
        <w:tc>
          <w:tcPr>
            <w:tcW w:w="8241" w:type="dxa"/>
            <w:gridSpan w:val="7"/>
            <w:tcBorders>
              <w:top w:val="single" w:sz="18" w:space="0" w:color="000000"/>
              <w:left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b/>
                <w:b/>
                <w:bCs/>
                <w:color w:val="000000" w:themeColor="text1"/>
                <w:sz w:val="16"/>
                <w:szCs w:val="16"/>
              </w:rPr>
            </w:pPr>
            <w:r>
              <w:rPr>
                <w:rFonts w:eastAsia="Calibri" w:cs="Times New Roman" w:ascii="Times New Roman" w:hAnsi="Times New Roman"/>
                <w:b/>
                <w:bCs/>
                <w:color w:val="000000" w:themeColor="text1"/>
                <w:kern w:val="0"/>
                <w:sz w:val="16"/>
                <w:szCs w:val="16"/>
                <w:highlight w:val="yellow"/>
                <w:lang w:val="pl-PL" w:eastAsia="en-US" w:bidi="ar-SA"/>
              </w:rPr>
              <w:t>WZROST WSPÓŁPRACY</w:t>
            </w:r>
          </w:p>
        </w:tc>
      </w:tr>
      <w:tr>
        <w:trPr/>
        <w:tc>
          <w:tcPr>
            <w:tcW w:w="970" w:type="dxa"/>
            <w:tcBorders>
              <w:left w:val="single" w:sz="18" w:space="0" w:color="000000"/>
              <w:right w:val="single" w:sz="18" w:space="0" w:color="000000"/>
            </w:tcBorders>
          </w:tcPr>
          <w:p>
            <w:pPr>
              <w:pStyle w:val="Normal"/>
              <w:widowControl w:val="false"/>
              <w:suppressAutoHyphens w:val="true"/>
              <w:spacing w:lineRule="auto" w:line="240" w:before="0" w:after="0"/>
              <w:jc w:val="both"/>
              <w:rPr>
                <w:rFonts w:ascii="Times New Roman" w:hAnsi="Times New Roman" w:cs="Times New Roman"/>
                <w:sz w:val="16"/>
                <w:szCs w:val="16"/>
              </w:rPr>
            </w:pPr>
            <w:r>
              <w:rPr>
                <w:rFonts w:eastAsia="Calibri" w:cs="Times New Roman" w:ascii="Times New Roman" w:hAnsi="Times New Roman"/>
                <w:kern w:val="0"/>
                <w:sz w:val="16"/>
                <w:szCs w:val="16"/>
                <w:lang w:val="pl-PL" w:eastAsia="en-US" w:bidi="ar-SA"/>
              </w:rPr>
              <w:t xml:space="preserve">Cel Operacyjny </w:t>
            </w:r>
          </w:p>
        </w:tc>
        <w:tc>
          <w:tcPr>
            <w:tcW w:w="1274" w:type="dxa"/>
            <w:tcBorders>
              <w:top w:val="single" w:sz="18" w:space="0" w:color="000000"/>
              <w:left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N/d</w:t>
            </w:r>
          </w:p>
        </w:tc>
        <w:tc>
          <w:tcPr>
            <w:tcW w:w="1106" w:type="dxa"/>
            <w:tcBorders>
              <w:top w:val="single" w:sz="18" w:space="0" w:color="000000"/>
              <w:right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Działania szkoleniowo - doradcze dla przedsiębiorców</w:t>
            </w:r>
          </w:p>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cs="Times New Roman" w:ascii="Times New Roman" w:hAnsi="Times New Roman"/>
                <w:color w:val="000000" w:themeColor="text1"/>
                <w:sz w:val="16"/>
                <w:szCs w:val="16"/>
              </w:rPr>
            </w:r>
          </w:p>
        </w:tc>
        <w:tc>
          <w:tcPr>
            <w:tcW w:w="1022" w:type="dxa"/>
            <w:tcBorders>
              <w:top w:val="single" w:sz="18" w:space="0" w:color="000000"/>
              <w:left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N/d</w:t>
            </w:r>
          </w:p>
        </w:tc>
        <w:tc>
          <w:tcPr>
            <w:tcW w:w="1416" w:type="dxa"/>
            <w:tcBorders>
              <w:top w:val="single" w:sz="18" w:space="0" w:color="000000"/>
              <w:right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Działania promujące kooperacje pomiędzy przedsiębiorcami, w tym  inicjatywy klastrowe i organizacje gospodarcze</w:t>
            </w:r>
          </w:p>
        </w:tc>
        <w:tc>
          <w:tcPr>
            <w:tcW w:w="805" w:type="dxa"/>
            <w:tcBorders>
              <w:top w:val="single" w:sz="18" w:space="0" w:color="000000"/>
              <w:left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N/d</w:t>
            </w:r>
          </w:p>
        </w:tc>
        <w:tc>
          <w:tcPr>
            <w:tcW w:w="1321" w:type="dxa"/>
            <w:tcBorders>
              <w:top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 xml:space="preserve">Infrastruktura techniczna dopasowana do potrzeb przedsiębiorców  </w:t>
            </w:r>
          </w:p>
        </w:tc>
        <w:tc>
          <w:tcPr>
            <w:tcW w:w="1297" w:type="dxa"/>
            <w:tcBorders>
              <w:top w:val="single" w:sz="18" w:space="0" w:color="000000"/>
              <w:right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N/d</w:t>
            </w:r>
          </w:p>
        </w:tc>
      </w:tr>
      <w:tr>
        <w:trPr/>
        <w:tc>
          <w:tcPr>
            <w:tcW w:w="970" w:type="dxa"/>
            <w:tcBorders>
              <w:left w:val="single" w:sz="18" w:space="0" w:color="000000"/>
              <w:right w:val="single" w:sz="18" w:space="0" w:color="000000"/>
            </w:tcBorders>
          </w:tcPr>
          <w:p>
            <w:pPr>
              <w:pStyle w:val="Normal"/>
              <w:widowControl w:val="false"/>
              <w:suppressAutoHyphens w:val="true"/>
              <w:spacing w:lineRule="auto" w:line="240" w:before="0" w:after="0"/>
              <w:jc w:val="both"/>
              <w:rPr>
                <w:rFonts w:ascii="Times New Roman" w:hAnsi="Times New Roman" w:cs="Times New Roman"/>
                <w:sz w:val="16"/>
                <w:szCs w:val="16"/>
              </w:rPr>
            </w:pPr>
            <w:r>
              <w:rPr>
                <w:rFonts w:eastAsia="Calibri" w:cs="Times New Roman" w:ascii="Times New Roman" w:hAnsi="Times New Roman"/>
                <w:kern w:val="0"/>
                <w:sz w:val="16"/>
                <w:szCs w:val="16"/>
                <w:lang w:val="pl-PL" w:eastAsia="en-US" w:bidi="ar-SA"/>
              </w:rPr>
              <w:t>Wstępna propozycja projektu</w:t>
            </w:r>
          </w:p>
        </w:tc>
        <w:tc>
          <w:tcPr>
            <w:tcW w:w="1274" w:type="dxa"/>
            <w:tcBorders>
              <w:left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N/d</w:t>
            </w:r>
          </w:p>
        </w:tc>
        <w:tc>
          <w:tcPr>
            <w:tcW w:w="1106" w:type="dxa"/>
            <w:tcBorders>
              <w:right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Utworzenie Lokalnej Organizacji Gospodarczej na terenie Gminy Choceń</w:t>
            </w:r>
          </w:p>
        </w:tc>
        <w:tc>
          <w:tcPr>
            <w:tcW w:w="1022" w:type="dxa"/>
            <w:tcBorders>
              <w:left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N/d</w:t>
            </w:r>
          </w:p>
        </w:tc>
        <w:tc>
          <w:tcPr>
            <w:tcW w:w="1416" w:type="dxa"/>
            <w:tcBorders>
              <w:right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Utworzenie Lokalnej Organizacji Gospodarczej na terenie Gminy Choceń</w:t>
            </w:r>
          </w:p>
        </w:tc>
        <w:tc>
          <w:tcPr>
            <w:tcW w:w="805" w:type="dxa"/>
            <w:tcBorders>
              <w:left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N/d</w:t>
            </w:r>
          </w:p>
        </w:tc>
        <w:tc>
          <w:tcPr>
            <w:tcW w:w="1321" w:type="dxa"/>
            <w:tcBorders/>
            <w:vAlign w:val="center"/>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Rozwój infrastruktury wodno-ściekowej na terenie gminy Choceń</w:t>
            </w:r>
          </w:p>
        </w:tc>
        <w:tc>
          <w:tcPr>
            <w:tcW w:w="1297" w:type="dxa"/>
            <w:tcBorders>
              <w:right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color w:val="000000" w:themeColor="text1"/>
                <w:sz w:val="16"/>
                <w:szCs w:val="16"/>
              </w:rPr>
            </w:pPr>
            <w:r>
              <w:rPr>
                <w:rFonts w:eastAsia="Calibri" w:cs="Times New Roman" w:ascii="Times New Roman" w:hAnsi="Times New Roman"/>
                <w:color w:val="000000" w:themeColor="text1"/>
                <w:kern w:val="0"/>
                <w:sz w:val="16"/>
                <w:szCs w:val="16"/>
                <w:lang w:val="pl-PL" w:eastAsia="en-US" w:bidi="ar-SA"/>
              </w:rPr>
              <w:t>N/d</w:t>
            </w:r>
          </w:p>
        </w:tc>
      </w:tr>
      <w:tr>
        <w:trPr/>
        <w:tc>
          <w:tcPr>
            <w:tcW w:w="970" w:type="dxa"/>
            <w:tcBorders>
              <w:left w:val="single" w:sz="18" w:space="0" w:color="000000"/>
              <w:bottom w:val="single" w:sz="18" w:space="0" w:color="000000"/>
              <w:right w:val="single" w:sz="18" w:space="0" w:color="000000"/>
            </w:tcBorders>
          </w:tcPr>
          <w:p>
            <w:pPr>
              <w:pStyle w:val="Normal"/>
              <w:widowControl w:val="false"/>
              <w:suppressAutoHyphens w:val="true"/>
              <w:spacing w:lineRule="auto" w:line="240" w:before="0" w:after="0"/>
              <w:jc w:val="both"/>
              <w:rPr>
                <w:rFonts w:ascii="Times New Roman" w:hAnsi="Times New Roman" w:cs="Times New Roman"/>
                <w:sz w:val="16"/>
                <w:szCs w:val="16"/>
              </w:rPr>
            </w:pPr>
            <w:r>
              <w:rPr>
                <w:rFonts w:eastAsia="Calibri" w:cs="Times New Roman" w:ascii="Times New Roman" w:hAnsi="Times New Roman"/>
                <w:kern w:val="0"/>
                <w:sz w:val="16"/>
                <w:szCs w:val="16"/>
                <w:lang w:val="pl-PL" w:eastAsia="en-US" w:bidi="ar-SA"/>
              </w:rPr>
              <w:t>Wskaźnik</w:t>
            </w:r>
          </w:p>
        </w:tc>
        <w:tc>
          <w:tcPr>
            <w:tcW w:w="1274" w:type="dxa"/>
            <w:tcBorders>
              <w:left w:val="single" w:sz="18" w:space="0" w:color="000000"/>
              <w:bottom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sz w:val="16"/>
                <w:szCs w:val="16"/>
              </w:rPr>
            </w:pPr>
            <w:r>
              <w:rPr>
                <w:rFonts w:eastAsia="Calibri" w:cs="Times New Roman" w:ascii="Times New Roman" w:hAnsi="Times New Roman"/>
                <w:color w:val="000000" w:themeColor="text1"/>
                <w:kern w:val="0"/>
                <w:sz w:val="16"/>
                <w:szCs w:val="16"/>
                <w:lang w:val="pl-PL" w:eastAsia="en-US" w:bidi="ar-SA"/>
              </w:rPr>
              <w:t>N/d</w:t>
            </w:r>
          </w:p>
        </w:tc>
        <w:tc>
          <w:tcPr>
            <w:tcW w:w="1106" w:type="dxa"/>
            <w:tcBorders>
              <w:bottom w:val="single" w:sz="18" w:space="0" w:color="000000"/>
              <w:right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sz w:val="16"/>
                <w:szCs w:val="16"/>
              </w:rPr>
            </w:pPr>
            <w:r>
              <w:rPr>
                <w:rFonts w:eastAsia="Calibri" w:cs="Times New Roman" w:ascii="Times New Roman" w:hAnsi="Times New Roman"/>
                <w:color w:val="000000" w:themeColor="text1"/>
                <w:kern w:val="0"/>
                <w:sz w:val="16"/>
                <w:szCs w:val="16"/>
                <w:lang w:val="pl-PL" w:eastAsia="en-US" w:bidi="ar-SA"/>
              </w:rPr>
              <w:t>Zgodnie z fiszką</w:t>
            </w:r>
          </w:p>
        </w:tc>
        <w:tc>
          <w:tcPr>
            <w:tcW w:w="1022" w:type="dxa"/>
            <w:tcBorders>
              <w:left w:val="single" w:sz="18" w:space="0" w:color="000000"/>
              <w:bottom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sz w:val="16"/>
                <w:szCs w:val="16"/>
              </w:rPr>
            </w:pPr>
            <w:r>
              <w:rPr>
                <w:rFonts w:eastAsia="Calibri" w:cs="Times New Roman" w:ascii="Times New Roman" w:hAnsi="Times New Roman"/>
                <w:kern w:val="0"/>
                <w:sz w:val="16"/>
                <w:szCs w:val="16"/>
                <w:lang w:val="pl-PL" w:eastAsia="en-US" w:bidi="ar-SA"/>
              </w:rPr>
              <w:t>N/d</w:t>
            </w:r>
          </w:p>
        </w:tc>
        <w:tc>
          <w:tcPr>
            <w:tcW w:w="1416" w:type="dxa"/>
            <w:tcBorders>
              <w:bottom w:val="single" w:sz="18" w:space="0" w:color="000000"/>
              <w:right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sz w:val="16"/>
                <w:szCs w:val="16"/>
              </w:rPr>
            </w:pPr>
            <w:r>
              <w:rPr>
                <w:rFonts w:eastAsia="Calibri" w:cs="Times New Roman" w:ascii="Times New Roman" w:hAnsi="Times New Roman"/>
                <w:color w:val="000000" w:themeColor="text1"/>
                <w:kern w:val="0"/>
                <w:sz w:val="16"/>
                <w:szCs w:val="16"/>
                <w:lang w:val="pl-PL" w:eastAsia="en-US" w:bidi="ar-SA"/>
              </w:rPr>
              <w:t>Zgodnie z fiszką</w:t>
            </w:r>
          </w:p>
        </w:tc>
        <w:tc>
          <w:tcPr>
            <w:tcW w:w="805" w:type="dxa"/>
            <w:tcBorders>
              <w:left w:val="single" w:sz="18" w:space="0" w:color="000000"/>
              <w:bottom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sz w:val="16"/>
                <w:szCs w:val="16"/>
              </w:rPr>
            </w:pPr>
            <w:r>
              <w:rPr>
                <w:rFonts w:eastAsia="Calibri" w:cs="Times New Roman" w:ascii="Times New Roman" w:hAnsi="Times New Roman"/>
                <w:kern w:val="0"/>
                <w:sz w:val="16"/>
                <w:szCs w:val="16"/>
                <w:lang w:val="pl-PL" w:eastAsia="en-US" w:bidi="ar-SA"/>
              </w:rPr>
              <w:t>N/d</w:t>
            </w:r>
          </w:p>
        </w:tc>
        <w:tc>
          <w:tcPr>
            <w:tcW w:w="1321" w:type="dxa"/>
            <w:tcBorders>
              <w:bottom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sz w:val="16"/>
                <w:szCs w:val="16"/>
              </w:rPr>
            </w:pPr>
            <w:r>
              <w:rPr>
                <w:rFonts w:eastAsia="Calibri" w:cs="Times New Roman" w:ascii="Times New Roman" w:hAnsi="Times New Roman"/>
                <w:color w:val="000000" w:themeColor="text1"/>
                <w:kern w:val="0"/>
                <w:sz w:val="16"/>
                <w:szCs w:val="16"/>
                <w:lang w:val="pl-PL" w:eastAsia="en-US" w:bidi="ar-SA"/>
              </w:rPr>
              <w:t>Zgodnie z fiszką</w:t>
            </w:r>
          </w:p>
        </w:tc>
        <w:tc>
          <w:tcPr>
            <w:tcW w:w="1297" w:type="dxa"/>
            <w:tcBorders>
              <w:bottom w:val="single" w:sz="18" w:space="0" w:color="000000"/>
              <w:right w:val="single" w:sz="18" w:space="0" w:color="000000"/>
            </w:tcBorders>
            <w:vAlign w:val="center"/>
          </w:tcPr>
          <w:p>
            <w:pPr>
              <w:pStyle w:val="Normal"/>
              <w:widowControl w:val="false"/>
              <w:suppressAutoHyphens w:val="true"/>
              <w:spacing w:lineRule="auto" w:line="240" w:before="0" w:after="0"/>
              <w:jc w:val="center"/>
              <w:rPr>
                <w:rFonts w:ascii="Times New Roman" w:hAnsi="Times New Roman" w:cs="Times New Roman"/>
                <w:sz w:val="16"/>
                <w:szCs w:val="16"/>
              </w:rPr>
            </w:pPr>
            <w:r>
              <w:rPr>
                <w:rFonts w:eastAsia="Calibri" w:cs="Times New Roman" w:ascii="Times New Roman" w:hAnsi="Times New Roman"/>
                <w:kern w:val="0"/>
                <w:sz w:val="16"/>
                <w:szCs w:val="16"/>
                <w:lang w:val="pl-PL" w:eastAsia="en-US" w:bidi="ar-SA"/>
              </w:rPr>
              <w:t>N/d</w:t>
            </w:r>
          </w:p>
        </w:tc>
      </w:tr>
    </w:tbl>
    <w:p>
      <w:pPr>
        <w:pStyle w:val="Normal"/>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ormal"/>
        <w:spacing w:lineRule="auto" w:line="360"/>
        <w:rPr>
          <w:rFonts w:ascii="Times New Roman" w:hAnsi="Times New Roman" w:cs="Times New Roman"/>
        </w:rPr>
      </w:pPr>
      <w:r>
        <w:rPr>
          <w:rFonts w:cs="Times New Roman" w:ascii="Times New Roman" w:hAnsi="Times New Roman"/>
        </w:rPr>
      </w:r>
    </w:p>
    <w:p>
      <w:pPr>
        <w:pStyle w:val="Nagwek1"/>
        <w:rPr>
          <w:rFonts w:ascii="Times New Roman" w:hAnsi="Times New Roman" w:cs="Times New Roman"/>
        </w:rPr>
      </w:pPr>
      <w:bookmarkStart w:id="37" w:name="_Toc85228974"/>
      <w:r>
        <w:rPr>
          <w:rFonts w:cs="Times New Roman" w:ascii="Times New Roman" w:hAnsi="Times New Roman"/>
        </w:rPr>
        <w:t>Rozdział 4. Inicjatywy Lokalnego Programu Rozwoju Gospodarczego</w:t>
      </w:r>
      <w:bookmarkEnd w:id="37"/>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agwek2"/>
        <w:rPr>
          <w:rFonts w:ascii="Times New Roman" w:hAnsi="Times New Roman" w:cs="Times New Roman"/>
        </w:rPr>
      </w:pPr>
      <w:bookmarkStart w:id="38" w:name="_Toc85228975"/>
      <w:r>
        <w:rPr>
          <w:rFonts w:cs="Times New Roman" w:ascii="Times New Roman" w:hAnsi="Times New Roman"/>
        </w:rPr>
        <w:t>4.1. Proces składania i zatwierdzania propozycji inicjatyw</w:t>
      </w:r>
      <w:bookmarkEnd w:id="38"/>
      <w:r>
        <w:rPr>
          <w:rFonts w:cs="Times New Roman" w:ascii="Times New Roman" w:hAnsi="Times New Roman"/>
        </w:rPr>
        <w:t xml:space="preserve"> </w:t>
      </w:r>
    </w:p>
    <w:p>
      <w:pPr>
        <w:pStyle w:val="Normal"/>
        <w:spacing w:lineRule="auto" w:line="360" w:before="0" w:after="0"/>
        <w:rPr>
          <w:rFonts w:ascii="Times New Roman" w:hAnsi="Times New Roman" w:cs="Times New Roman"/>
          <w:lang w:val="pl" w:eastAsia="pl-PL"/>
        </w:rPr>
      </w:pPr>
      <w:r>
        <w:rPr>
          <w:rFonts w:cs="Times New Roman" w:ascii="Times New Roman" w:hAnsi="Times New Roman"/>
          <w:lang w:val="pl" w:eastAsia="pl-PL"/>
        </w:rPr>
      </w:r>
    </w:p>
    <w:p>
      <w:pPr>
        <w:pStyle w:val="Normal"/>
        <w:spacing w:lineRule="auto" w:line="360" w:before="0" w:after="0"/>
        <w:jc w:val="both"/>
        <w:rPr>
          <w:rFonts w:ascii="Times New Roman" w:hAnsi="Times New Roman" w:cs="Times New Roman"/>
        </w:rPr>
      </w:pPr>
      <w:r>
        <w:rPr>
          <w:rFonts w:cs="Times New Roman" w:ascii="Times New Roman" w:hAnsi="Times New Roman"/>
        </w:rPr>
        <w:t>Jedną z głównych barier rozwoju inicjatywy w LPRG może być kwestia finansowania przedsięwzięć proponowanych przez mieszkańców i przedsiębiorców. Obecna sytuacja finansów publicznych nie skłania samorządów do zaciągania nowych zobowiązań i wydzielania środków na nowe zadania. Nie oznacza to, że zewnętrzni interesariusza nie powinni mieć możliwości składania a jednostki samorządu terytorialnego zatwierdzenia propozycji inicjatyw. Opracowując propozycję inicjatyw które znalazły się w LPRG i dla których opracowano przykładowe propozycje projektów wzięto pod uwagę propozycje, które wypłynęły od samych przedsiębiorców, jak i uzgodnione wewnętrznie przez różne jednostki samej gminy (punkt. 3.2), a wynikające z założeń wcześniejszych strategii, dokumentów planistycznych czy innych dokumentów (np. lokalnych planów zagospodarowania)</w:t>
      </w:r>
    </w:p>
    <w:p>
      <w:pPr>
        <w:pStyle w:val="Normal"/>
        <w:spacing w:lineRule="auto" w:line="360" w:before="0" w:after="0"/>
        <w:rPr>
          <w:rFonts w:ascii="Times New Roman" w:hAnsi="Times New Roman" w:cs="Times New Roman"/>
        </w:rPr>
      </w:pPr>
      <w:r>
        <w:rPr>
          <w:rFonts w:cs="Times New Roman" w:ascii="Times New Roman" w:hAnsi="Times New Roman"/>
        </w:rPr>
        <w:t>W przypadku procedowania działań zmierzających do rozwoju lokalnego należy  mieć na uwadze:</w:t>
      </w:r>
    </w:p>
    <w:p>
      <w:pPr>
        <w:pStyle w:val="Normal"/>
        <w:spacing w:lineRule="auto" w:line="360" w:before="0" w:after="0"/>
        <w:rPr>
          <w:rFonts w:ascii="Times New Roman" w:hAnsi="Times New Roman" w:cs="Times New Roman"/>
        </w:rPr>
      </w:pPr>
      <w:r>
        <w:rPr>
          <w:rFonts w:cs="Times New Roman" w:ascii="Times New Roman" w:hAnsi="Times New Roman"/>
        </w:rPr>
        <w:t>- Uwzględnienie różnorodnych form konsultacji, takich jak internetowe (edytowalna ankieta), bezpośrednie spotkania, grupy fokusowe;</w:t>
      </w:r>
    </w:p>
    <w:p>
      <w:pPr>
        <w:pStyle w:val="Normal"/>
        <w:spacing w:lineRule="auto" w:line="360" w:before="0" w:after="0"/>
        <w:rPr>
          <w:rFonts w:ascii="Times New Roman" w:hAnsi="Times New Roman" w:cs="Times New Roman"/>
        </w:rPr>
      </w:pPr>
      <w:r>
        <w:rPr>
          <w:rFonts w:cs="Times New Roman" w:ascii="Times New Roman" w:hAnsi="Times New Roman"/>
        </w:rPr>
        <w:t>- Dostępność konsultacji  dla osób niepełnosprawnych (m.in. niedowidzących, niepełnosprawnych ruchowo);</w:t>
      </w:r>
    </w:p>
    <w:p>
      <w:pPr>
        <w:pStyle w:val="Normal"/>
        <w:spacing w:lineRule="auto" w:line="360" w:before="0" w:after="0"/>
        <w:rPr>
          <w:rFonts w:ascii="Times New Roman" w:hAnsi="Times New Roman" w:cs="Times New Roman"/>
        </w:rPr>
      </w:pPr>
      <w:r>
        <w:rPr>
          <w:rFonts w:cs="Times New Roman" w:ascii="Times New Roman" w:hAnsi="Times New Roman"/>
        </w:rPr>
        <w:t>- Informacje o konsultacjach rozpowszechniane przez różnorodne kanały, takie jak strona internetowa, kontakt bezpośredni, inne media, lokalne portale.</w:t>
      </w:r>
    </w:p>
    <w:p>
      <w:pPr>
        <w:pStyle w:val="Normal"/>
        <w:spacing w:lineRule="auto" w:line="360" w:before="0" w:after="0"/>
        <w:rPr>
          <w:rFonts w:ascii="Times New Roman" w:hAnsi="Times New Roman" w:cs="Times New Roman"/>
        </w:rPr>
      </w:pPr>
      <w:r>
        <w:rPr>
          <w:rFonts w:cs="Times New Roman" w:ascii="Times New Roman" w:hAnsi="Times New Roman"/>
        </w:rPr>
        <w:t>W przypadku opracowania niniejszego Lokalnego Programu Gospodarczego konsultacje takie przeprowadzono min. poprzez:</w:t>
      </w:r>
    </w:p>
    <w:p>
      <w:pPr>
        <w:pStyle w:val="Normal"/>
        <w:spacing w:lineRule="auto" w:line="360" w:before="0" w:after="0"/>
        <w:rPr>
          <w:rFonts w:ascii="Times New Roman" w:hAnsi="Times New Roman" w:cs="Times New Roman"/>
        </w:rPr>
      </w:pPr>
      <w:r>
        <w:rPr>
          <w:rFonts w:cs="Times New Roman" w:ascii="Times New Roman" w:hAnsi="Times New Roman"/>
        </w:rPr>
        <w:t>- Spotkanie fokusowe w dniu 01.02.2021</w:t>
      </w:r>
    </w:p>
    <w:p>
      <w:pPr>
        <w:pStyle w:val="Normal"/>
        <w:spacing w:lineRule="auto" w:line="360" w:before="0" w:after="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Spotkanie z zespołem projektu REGIOGMINA </w:t>
      </w:r>
      <w:r>
        <w:rPr>
          <w:rFonts w:cs="Times New Roman" w:ascii="Times New Roman" w:hAnsi="Times New Roman"/>
        </w:rPr>
        <w:t xml:space="preserve"> w dniu </w:t>
      </w:r>
      <w:r>
        <w:rPr>
          <w:rFonts w:cs="Times New Roman" w:ascii="Times New Roman" w:hAnsi="Times New Roman"/>
        </w:rPr>
        <w:t>14.06.2021</w:t>
      </w:r>
    </w:p>
    <w:p>
      <w:pPr>
        <w:pStyle w:val="Normal"/>
        <w:spacing w:lineRule="auto" w:line="360" w:before="0" w:after="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Spotkanie fokusowe </w:t>
      </w:r>
      <w:r>
        <w:rPr>
          <w:rFonts w:cs="Times New Roman" w:ascii="Times New Roman" w:hAnsi="Times New Roman"/>
        </w:rPr>
        <w:t xml:space="preserve"> w dniu </w:t>
      </w:r>
      <w:r>
        <w:rPr>
          <w:rFonts w:cs="Times New Roman" w:ascii="Times New Roman" w:hAnsi="Times New Roman"/>
        </w:rPr>
        <w:t>26.07.2021</w:t>
      </w:r>
    </w:p>
    <w:p>
      <w:pPr>
        <w:pStyle w:val="Normal"/>
        <w:spacing w:lineRule="auto" w:line="360" w:before="0" w:after="0"/>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Spotkanie trójstronne z opiekunem projektu i zespołem Projektu REGIOGMINA</w:t>
      </w:r>
      <w:r>
        <w:rPr>
          <w:rFonts w:cs="Times New Roman" w:ascii="Times New Roman" w:hAnsi="Times New Roman"/>
        </w:rPr>
        <w:t xml:space="preserve">w dniu </w:t>
      </w:r>
      <w:r>
        <w:rPr>
          <w:rFonts w:cs="Times New Roman" w:ascii="Times New Roman" w:hAnsi="Times New Roman"/>
        </w:rPr>
        <w:t>17.08.2021</w:t>
      </w:r>
    </w:p>
    <w:p>
      <w:pPr>
        <w:pStyle w:val="Normal"/>
        <w:spacing w:lineRule="auto" w:line="360" w:before="0" w:after="0"/>
        <w:jc w:val="both"/>
        <w:rPr>
          <w:rFonts w:ascii="Times New Roman" w:hAnsi="Times New Roman" w:cs="Times New Roman"/>
        </w:rPr>
      </w:pPr>
      <w:r>
        <w:rPr>
          <w:rFonts w:cs="Times New Roman" w:ascii="Times New Roman" w:hAnsi="Times New Roman"/>
        </w:rPr>
        <w:t xml:space="preserve">W fazie opracowywania dokumentacji niezbędnej do realizacji inicjatywy warto wskazać konkretnego urzędnika jako „opiekuna inicjatywy”, czyli osobę odpowiedzialną za cały proces przygotowywania inicjatywy do wdrożenia, a następnie podpisanie umowy, realizację zadania oraz sprawozdawczość. W takiej sytuacji inicjatywa nie rozmyje się a stająca za nią grupa inicjatywna nie będzie zagubiona. Interesariusze będą wiedzieli z kim się kontaktować i rozmawiać. Przedstawiciel gminy będący opiekunem danego projektu powinien przedstawić grupie specyfikę funkcjonowania urzędu w kontekście realizowanej inicjatywy i wspólnie wypracować odpowiednie sposoby lobbingu / pozyskania finansowania na inicjatywę. Gmina powinna mieć świadomość, że przedsiębiorcy  niekoniecznie znają realia administracyjne, lecz opiekun powinien zapobiegać wygaśnięciu ewentualnego entuzjazmu inicjatorów z powodu nadmiernej biurokracji, rozrośniętych procedur, czy aktualnego braku perspektywy finansowania przedsięwzięcia.  </w:t>
      </w:r>
    </w:p>
    <w:p>
      <w:pPr>
        <w:pStyle w:val="Nagwek2"/>
        <w:rPr>
          <w:rFonts w:ascii="Times New Roman" w:hAnsi="Times New Roman" w:cs="Times New Roman"/>
        </w:rPr>
      </w:pPr>
      <w:bookmarkStart w:id="39" w:name="_Toc85228976"/>
      <w:r>
        <w:rPr>
          <w:rFonts w:cs="Times New Roman" w:ascii="Times New Roman" w:hAnsi="Times New Roman"/>
        </w:rPr>
        <w:t>4.2. Lista inicjatyw planowanych do realizacji w ramach LPRG</w:t>
      </w:r>
      <w:bookmarkEnd w:id="39"/>
    </w:p>
    <w:p>
      <w:pPr>
        <w:pStyle w:val="Normal"/>
        <w:spacing w:lineRule="auto" w:line="360" w:before="0" w:after="0"/>
        <w:jc w:val="both"/>
        <w:rPr>
          <w:rFonts w:ascii="Times New Roman" w:hAnsi="Times New Roman" w:cs="Times New Roman"/>
        </w:rPr>
      </w:pPr>
      <w:r>
        <w:rPr>
          <w:rFonts w:cs="Times New Roman" w:ascii="Times New Roman" w:hAnsi="Times New Roman"/>
        </w:rPr>
      </w:r>
    </w:p>
    <w:p>
      <w:pPr>
        <w:pStyle w:val="Normal"/>
        <w:spacing w:lineRule="auto" w:line="360" w:before="0" w:after="0"/>
        <w:jc w:val="both"/>
        <w:rPr>
          <w:rFonts w:ascii="Times New Roman" w:hAnsi="Times New Roman" w:cs="Times New Roman"/>
        </w:rPr>
      </w:pPr>
      <w:r>
        <w:rPr>
          <w:rFonts w:cs="Times New Roman" w:ascii="Times New Roman" w:hAnsi="Times New Roman"/>
        </w:rPr>
        <w:t>W wyniku przeprowadzonych badań ankietowych z mieszkańcami gminy oraz konsultacji z pracownikami urzędu gminy i podległych jednostek organizacyjnych, radnych oraz przedstawicieli innych instytucji, sformułowano propozycję inicjatyw. Opierają się one na zdiagnozowanych wcześniej uwarunkowaniach rozwojowych gminy (przede wszystkim posiadanych wewnętrznych atutach oraz pojawiających się w otoczeniu szansach, ale także uwzględniając najistotniejsze wewnętrzne problemy i zewnętrzne zagrożenia) i wyznaczają główne kierunki jej rozwoju. Realizacja tych inicjatyw, w perspektywie objętej niniejszym dokumentem, powinna w znacznym stopniu przybliżyć osiągnięcie zakładanego rozwoju gminy, określonego w jej wizji. W ramach Lokalnego Programu Rozwoju Gospodarczego zaproponowano inicjatywy, które znalazły się w Załączniku 1 do niniejszego Programu.</w:t>
      </w:r>
    </w:p>
    <w:p>
      <w:pPr>
        <w:pStyle w:val="Normal"/>
        <w:spacing w:lineRule="auto" w:line="360" w:before="0" w:after="0"/>
        <w:jc w:val="both"/>
        <w:rPr>
          <w:rFonts w:ascii="Times New Roman" w:hAnsi="Times New Roman" w:cs="Times New Roman"/>
          <w:i/>
          <w:i/>
        </w:rPr>
      </w:pPr>
      <w:r>
        <w:rPr>
          <w:rFonts w:cs="Times New Roman" w:ascii="Times New Roman" w:hAnsi="Times New Roman"/>
          <w:i/>
        </w:rPr>
      </w:r>
    </w:p>
    <w:p>
      <w:pPr>
        <w:pStyle w:val="Nagwek1"/>
        <w:rPr>
          <w:rFonts w:ascii="Times New Roman" w:hAnsi="Times New Roman" w:cs="Times New Roman"/>
        </w:rPr>
      </w:pPr>
      <w:bookmarkStart w:id="40" w:name="_Toc85228977"/>
      <w:r>
        <w:rPr>
          <w:rStyle w:val="Nagwek1Znak"/>
          <w:rFonts w:cs="Times New Roman" w:ascii="Times New Roman" w:hAnsi="Times New Roman"/>
        </w:rPr>
        <w:t>Rozdział 5. Powiązanie Lokalnego Programu Rozwoju Gospodarczego z dokumentami o charakterze strategicznym</w:t>
      </w:r>
      <w:bookmarkEnd w:id="40"/>
      <w:r>
        <w:rPr>
          <w:rFonts w:cs="Times New Roman" w:ascii="Times New Roman" w:hAnsi="Times New Roman"/>
        </w:rPr>
        <w:t xml:space="preserve"> </w:t>
      </w:r>
    </w:p>
    <w:p>
      <w:pPr>
        <w:pStyle w:val="Normal"/>
        <w:rPr>
          <w:rFonts w:ascii="Times New Roman" w:hAnsi="Times New Roman" w:cs="Times New Roman"/>
        </w:rPr>
      </w:pPr>
      <w:r>
        <w:rPr>
          <w:rFonts w:cs="Times New Roman" w:ascii="Times New Roman" w:hAnsi="Times New Roman"/>
        </w:rPr>
      </w:r>
    </w:p>
    <w:p>
      <w:pPr>
        <w:pStyle w:val="Normal"/>
        <w:spacing w:lineRule="auto" w:line="360"/>
        <w:jc w:val="both"/>
        <w:rPr>
          <w:rFonts w:ascii="Times New Roman" w:hAnsi="Times New Roman" w:cs="Times New Roman"/>
        </w:rPr>
      </w:pPr>
      <w:r>
        <w:rPr>
          <w:rFonts w:cs="Times New Roman" w:ascii="Times New Roman" w:hAnsi="Times New Roman"/>
        </w:rPr>
        <w:t>Lokalny Program Rozwoju Gospodarczego został opracowana z uwzględnieniem założeń dokumentów programowych (strategicznych, operacyjnych, planistycznych) tworzonych na różnych szczeblach polityki rozwoju. Przyjęte kierunki i cele rozwojowe są zgodne z celami określonymi w dokumentach strategicznych obowiązujących na następujących poziomach: wspólnotowym, krajowym, regionalnym, lokalnym, miejscowym. Poniżej przedstawiono najważniejsze założenia poszczególnych dokumentów wskazując na powiązania z niniejszym Programem. Ze względu na fakt, iż program jest dokumentem lokalnym, szczególna uwaga została zwrócona na jego miejsce w lokalnym systemie zarządzania strategicznego</w:t>
      </w:r>
    </w:p>
    <w:p>
      <w:pPr>
        <w:pStyle w:val="Nagwek2"/>
        <w:rPr>
          <w:rFonts w:ascii="Times New Roman" w:hAnsi="Times New Roman" w:cs="Times New Roman"/>
        </w:rPr>
      </w:pPr>
      <w:bookmarkStart w:id="41" w:name="_Toc85228978"/>
      <w:r>
        <w:rPr>
          <w:rFonts w:cs="Times New Roman" w:ascii="Times New Roman" w:hAnsi="Times New Roman"/>
        </w:rPr>
        <w:t>5.1. Powiązania z gminnymi dokumentami strategicznymi</w:t>
      </w:r>
      <w:bookmarkEnd w:id="41"/>
      <w:r>
        <w:rPr>
          <w:rFonts w:cs="Times New Roman" w:ascii="Times New Roman" w:hAnsi="Times New Roman"/>
        </w:rPr>
        <w:t xml:space="preserve"> </w:t>
      </w:r>
    </w:p>
    <w:p>
      <w:pPr>
        <w:pStyle w:val="ListParagraph"/>
        <w:spacing w:lineRule="auto" w:line="360"/>
        <w:jc w:val="both"/>
        <w:rPr>
          <w:sz w:val="22"/>
          <w:szCs w:val="22"/>
        </w:rPr>
      </w:pPr>
      <w:r>
        <w:rPr>
          <w:sz w:val="22"/>
          <w:szCs w:val="22"/>
        </w:rPr>
      </w:r>
    </w:p>
    <w:p>
      <w:pPr>
        <w:pStyle w:val="Normal"/>
        <w:spacing w:lineRule="auto" w:line="360" w:before="0" w:after="0"/>
        <w:jc w:val="both"/>
        <w:rPr>
          <w:rFonts w:ascii="Times New Roman" w:hAnsi="Times New Roman" w:cs="Times New Roman"/>
        </w:rPr>
      </w:pPr>
      <w:r>
        <w:rPr>
          <w:rFonts w:cs="Times New Roman" w:ascii="Times New Roman" w:hAnsi="Times New Roman"/>
        </w:rPr>
        <w:t>Głównym dokumentem określającym strategię, wyznaczone cele, podejmowane działania i czynniki motywujące gminę do rozwoju jest STRATEGIA ROZWOJU GMINY CHOCEŃ NA LATA 2020-2030. Spójna diagnoza LPRG i ww. Strategii powoduje, że obu dokumenty wskazują podobny, tożsamy katalog celów i kierunków działań. LPRG wpisuje się w całości min. w obszar strategiczny KAPITAŁ LUDZKI w tym Cel operacyjny 1.1. Działania na rzecz zmniejszenia bezrobocia, Cel operacyjny 1.2. Przeciwdziałanie wykluczeniu społecznemu, oraz obszar strategiczny  INFRASTRUKTURA TECHNICZNA, Cel operacyjny 2.1. Rozwój i modernizacja infrastruktury drogowej, Cel operacyjny 2.2. Budowa i unowocześnienie infrastruktury wodno-kanalizacyjnej i technicznej. Przede wszystkim jednak w całości wpisuje się w Cel strategiczny III. ZRÓWNOWAŻONY ROZWÓJ GOSPODARCZY, Cel operacyjny 3.1. Wspieranie powstawania nowych podmiotów gospodarczych oraz tworzenie sprzyjających warunków dla rozwoju już istniejących. Istotnym kierunkiem działań w ramach tego celu jest przygotowanie i wdrożenie systemu wsparcia dla rozpoczynających działalność i już istniejących przedsiębiorstw oraz zapewnienie przestrzeni do ich rozwoju. W LPRG i Strategii Gminy tożsame są też instrumenty wspierania przedsiębiorców określone w Cel operacyjny 3.3. Wzrost atrakcyjności inwestycyjnej gminy oraz Cel operacyjny 3.4. Stworzenie aktywnego systemu promocji. Do działań sprzyjających otoczeniu gospodarczemu należy m.in”</w:t>
      </w:r>
    </w:p>
    <w:p>
      <w:pPr>
        <w:pStyle w:val="Normal"/>
        <w:spacing w:lineRule="auto" w:line="360" w:before="0" w:after="0"/>
        <w:jc w:val="both"/>
        <w:rPr>
          <w:rFonts w:ascii="Times New Roman" w:hAnsi="Times New Roman" w:cs="Times New Roman"/>
        </w:rPr>
      </w:pPr>
      <w:r>
        <w:rPr>
          <w:rFonts w:cs="Times New Roman" w:ascii="Times New Roman" w:hAnsi="Times New Roman"/>
        </w:rPr>
        <w:t>- nabywanie atrakcyjnych terenów pod inwestycje,</w:t>
      </w:r>
    </w:p>
    <w:p>
      <w:pPr>
        <w:pStyle w:val="Normal"/>
        <w:spacing w:lineRule="auto" w:line="360" w:before="0" w:after="0"/>
        <w:jc w:val="both"/>
        <w:rPr>
          <w:rFonts w:ascii="Times New Roman" w:hAnsi="Times New Roman" w:cs="Times New Roman"/>
        </w:rPr>
      </w:pPr>
      <w:r>
        <w:rPr>
          <w:rFonts w:cs="Times New Roman" w:ascii="Times New Roman" w:hAnsi="Times New Roman"/>
        </w:rPr>
        <w:t>- uzbrojenie terenów pod inwestycje,</w:t>
      </w:r>
    </w:p>
    <w:p>
      <w:pPr>
        <w:pStyle w:val="Normal"/>
        <w:spacing w:lineRule="auto" w:line="360" w:before="0" w:after="0"/>
        <w:jc w:val="both"/>
        <w:rPr>
          <w:rFonts w:ascii="Times New Roman" w:hAnsi="Times New Roman" w:cs="Times New Roman"/>
        </w:rPr>
      </w:pPr>
      <w:r>
        <w:rPr>
          <w:rFonts w:cs="Times New Roman" w:ascii="Times New Roman" w:hAnsi="Times New Roman"/>
        </w:rPr>
        <w:t>- opracowanie i wdrożenie planu zagospodarowania przestrzennego zgodnego z kierunkami rozwoju gminy,</w:t>
      </w:r>
    </w:p>
    <w:p>
      <w:pPr>
        <w:pStyle w:val="Normal"/>
        <w:spacing w:lineRule="auto" w:line="360" w:before="0" w:after="0"/>
        <w:jc w:val="both"/>
        <w:rPr>
          <w:rFonts w:ascii="Times New Roman" w:hAnsi="Times New Roman" w:cs="Times New Roman"/>
        </w:rPr>
      </w:pPr>
      <w:r>
        <w:rPr>
          <w:rFonts w:cs="Times New Roman" w:ascii="Times New Roman" w:hAnsi="Times New Roman"/>
        </w:rPr>
        <w:t>- ulgi i zwolnienia w podatkach dla nowych podmiotów gospodarczych,</w:t>
      </w:r>
    </w:p>
    <w:p>
      <w:pPr>
        <w:pStyle w:val="Normal"/>
        <w:spacing w:lineRule="auto" w:line="360" w:before="0" w:after="0"/>
        <w:jc w:val="both"/>
        <w:rPr>
          <w:rFonts w:ascii="Times New Roman" w:hAnsi="Times New Roman" w:cs="Times New Roman"/>
        </w:rPr>
      </w:pPr>
      <w:r>
        <w:rPr>
          <w:rFonts w:cs="Times New Roman" w:ascii="Times New Roman" w:hAnsi="Times New Roman"/>
        </w:rPr>
        <w:t>- promocja terenów inwestycyjnych gminy.</w:t>
      </w:r>
    </w:p>
    <w:p>
      <w:pPr>
        <w:pStyle w:val="Normal"/>
        <w:spacing w:lineRule="auto" w:line="360" w:before="0" w:after="0"/>
        <w:jc w:val="both"/>
        <w:rPr>
          <w:rFonts w:ascii="Times New Roman" w:hAnsi="Times New Roman" w:cs="Times New Roman"/>
        </w:rPr>
      </w:pPr>
      <w:r>
        <w:rPr>
          <w:rFonts w:cs="Times New Roman" w:ascii="Times New Roman" w:hAnsi="Times New Roman"/>
        </w:rPr>
      </w:r>
    </w:p>
    <w:p>
      <w:pPr>
        <w:pStyle w:val="Normal"/>
        <w:spacing w:lineRule="auto" w:line="360" w:before="0" w:after="0"/>
        <w:jc w:val="both"/>
        <w:rPr>
          <w:rFonts w:ascii="Times New Roman" w:hAnsi="Times New Roman" w:cs="Times New Roman"/>
        </w:rPr>
      </w:pPr>
      <w:r>
        <w:rPr>
          <w:rFonts w:cs="Times New Roman" w:ascii="Times New Roman" w:hAnsi="Times New Roman"/>
        </w:rPr>
        <w:t xml:space="preserve">Spójność obejmuje także Strategię Rozwiązywania Problemów Społecznych na terenie Gminy Choceń na lata 2016-2026. Ze względu na koncentrację niniejszej strategii na problemach sfery społecznej gminy, niezbędne jest uwzględnienie powiązań z wieloletnim dokumentem programowym, który powstał w celu zapewnienia bezpieczeństwa socjalnego mieszkańców gminy, a w szczególności grup zagrożonych wykluczeniem społecznym. W LPRG wskazano wiele obszarów problemowych min. takich jak bezrobocie. Przeprowadzona diagnoza społeczna pozwoliła na określenie wizji rozwoju gminy w sferze rozwiązywania problemów społecznych, która brzmi następująco: Zapewnienie mieszkańcom Gminy Choceń jak najlepszych warunków życia. Tak sformułowana wizja pozostaje w spójności z wizją i celami  LPRG. Program  wpisuje się w cele strategiczne takie jak:  1. Przeciwdziałanie skutkom bezrobocia na terenie Gminy Choceń, 2. Przeciwdziałanie ubóstwu i wykluczeniu społecznemu na terenie Gminy Choceń. </w:t>
      </w:r>
    </w:p>
    <w:p>
      <w:pPr>
        <w:pStyle w:val="Normal"/>
        <w:spacing w:lineRule="auto" w:line="360" w:before="0" w:after="0"/>
        <w:jc w:val="both"/>
        <w:rPr>
          <w:rFonts w:ascii="Times New Roman" w:hAnsi="Times New Roman" w:cs="Times New Roman"/>
        </w:rPr>
      </w:pPr>
      <w:r>
        <w:rPr>
          <w:rFonts w:cs="Times New Roman" w:ascii="Times New Roman" w:hAnsi="Times New Roman"/>
        </w:rPr>
      </w:r>
    </w:p>
    <w:p>
      <w:pPr>
        <w:pStyle w:val="Normal"/>
        <w:spacing w:lineRule="auto" w:line="360" w:before="0" w:after="0"/>
        <w:jc w:val="both"/>
        <w:rPr>
          <w:rFonts w:ascii="Times New Roman" w:hAnsi="Times New Roman" w:cs="Times New Roman"/>
        </w:rPr>
      </w:pPr>
      <w:r>
        <w:rPr>
          <w:rFonts w:cs="Times New Roman" w:ascii="Times New Roman" w:hAnsi="Times New Roman"/>
        </w:rPr>
        <w:t>LPRG pozostaje także zbieżny ze Studium uwarunkowań i kierunków zagospodarowania przestrzennego Gminy Choceń. Studium jest podstawowym dokumentem planistycznym z zakresu zagospodarowania przestrzennego na szczeblu lokalnym, tj. stanowi podstawowe narzędzie umożliwiające spełnianie zadań własnych gminy w zakresie ładu przestrzennego, komunikacji i infrastruktury technicznej. Zostało ono opracowane dla całego obszaru Gminy Choceń, która w granicach administracyjnych zajmuje powierzchnię 9 987 ha i ma na celu określenie polityki przestrzennej samorządu lokalnego, w tym lokalne zasady zagospodarowania przestrzennego. Podstawowe kierunki działań związane z rozwojem i kształtowaniem sieci osadniczej w gminie zakładają wzmocnienie jej potencjału, co jest tożsame z celami określonymi w LPRG</w:t>
      </w:r>
    </w:p>
    <w:p>
      <w:pPr>
        <w:pStyle w:val="Nagwek2"/>
        <w:rPr>
          <w:rFonts w:ascii="Times New Roman" w:hAnsi="Times New Roman" w:cs="Times New Roman"/>
        </w:rPr>
      </w:pPr>
      <w:bookmarkStart w:id="42" w:name="_Toc85228979"/>
      <w:r>
        <w:rPr>
          <w:rFonts w:cs="Times New Roman" w:ascii="Times New Roman" w:hAnsi="Times New Roman"/>
        </w:rPr>
        <w:t>5.2. Powiązania z dokumentami strategicznymi i działaniami innych gmin</w:t>
      </w:r>
      <w:bookmarkEnd w:id="42"/>
      <w:r>
        <w:rPr>
          <w:rFonts w:cs="Times New Roman" w:ascii="Times New Roman" w:hAnsi="Times New Roman"/>
        </w:rPr>
        <w:t xml:space="preserve"> </w:t>
      </w:r>
    </w:p>
    <w:p>
      <w:pPr>
        <w:pStyle w:val="Normal"/>
        <w:spacing w:lineRule="auto" w:line="360" w:before="0" w:after="0"/>
        <w:jc w:val="both"/>
        <w:rPr>
          <w:rFonts w:ascii="Times New Roman" w:hAnsi="Times New Roman" w:cs="Times New Roman"/>
        </w:rPr>
      </w:pPr>
      <w:r>
        <w:rPr>
          <w:rFonts w:cs="Times New Roman" w:ascii="Times New Roman" w:hAnsi="Times New Roman"/>
        </w:rPr>
      </w:r>
    </w:p>
    <w:p>
      <w:pPr>
        <w:pStyle w:val="Normal"/>
        <w:spacing w:lineRule="auto" w:line="360" w:before="0" w:after="0"/>
        <w:ind w:firstLine="708"/>
        <w:jc w:val="both"/>
        <w:rPr>
          <w:rFonts w:ascii="Times New Roman" w:hAnsi="Times New Roman" w:cs="Times New Roman"/>
        </w:rPr>
      </w:pPr>
      <w:r>
        <w:rPr>
          <w:rFonts w:cs="Times New Roman" w:ascii="Times New Roman" w:hAnsi="Times New Roman"/>
        </w:rPr>
        <w:t>LPRG wpisuje się przede wszystkim w Strategię Rozwoju Obszaru Strategicznej Interwencji dla Miasta Włocławek oraz obszaru powiązanego z nim funkcjonalnie 2020+. Dokument ten był wyrazem nowego podejścia do programowania interwencji w ramach polityki spójności na lata 2014-2020, polegającego na szerokim uwzględnieniu wymiaru terytorialnego, tj. odejściu od postrzegania obszarów przez pryzmat granic administracyjnych na rzecz definiowania obszarów funkcjonalnych delimitowanych na podstawie ich indywidualnych potencjałów, barier i wzajemnych zależności, przy udziale dedykowanego unijnego wsparcia. Takie podejście jest zgodne z aktualnymi Założeniami polityki terytorialnej województwa kujawsko-pomorskiego w których Zarząd Województwa Kujawsko-Pomorskiego wprowadził na poziomie miast regionalnych i subregionalnych nowy instrument, jakim jest Obszar Strategicznej Interwencji (OSI). Gmina Choceń, w wyniku przeprowadzonej delimitacja została włączona do obszaru funkcjonalnego miasta Włocławek, stad też ww. dokument będzie miał istotne znaczenie dla przeprowadzania na jej terytorium interwencji w ramach polityki terytorialnej w obowiązującej perspektywie finansowej UE.</w:t>
      </w:r>
    </w:p>
    <w:p>
      <w:pPr>
        <w:pStyle w:val="Normal"/>
        <w:spacing w:lineRule="auto" w:line="360" w:before="0" w:after="0"/>
        <w:jc w:val="both"/>
        <w:rPr>
          <w:rFonts w:ascii="Times New Roman" w:hAnsi="Times New Roman" w:cs="Times New Roman"/>
        </w:rPr>
      </w:pPr>
      <w:r>
        <w:rPr>
          <w:rFonts w:cs="Times New Roman" w:ascii="Times New Roman" w:hAnsi="Times New Roman"/>
        </w:rPr>
        <w:t>Program wpisuje się w poprzednie (dopiero zakończone) wojewódzkie dokumenty strategiczne min. Strategię rozwoju WKP do roku 2020 - Plan modernizacji 2020+: Projekt w bezpośredni sposób przyczynia się do realizacji celów w ramach priorytetu Konkurencyjna gospodarka”. Realizacja zadań przyczyni się do realizacji celu „Gospodarka i miejsca pracy”, poprzez zwiększenie szans rozwojowych regionalnych przedsiębiorstw z różnych branży (w tym tych z RIS). Jak wskazano w Strategii „Podstawowym i bezpośrednim celem działań projektowanych w ramach celu strategicznego „Gospodarka i miejsca pracy” jest zwiększenie liczby miejsc pracy, a więc ograniczenie bezrobocia poprzez aktywne działania związane z poprawą warunków tworzenia miejsc pracy i zwiększania zatrudnienia, ale celem pośrednim jest także rozwój przedsiębiorczości, rozumiany zarówno jako zwiększanie liczby zarejestrowanych podmiotów, jak i zwiększanie potencjału podmiotów już funkcjonujących.” Zaoferowane usługi w ramach LOG w sposób bezpośredni przyczynią się do zwiększenia potencjału podmiotów już funkcjonujących.</w:t>
      </w:r>
    </w:p>
    <w:p>
      <w:pPr>
        <w:pStyle w:val="Normal"/>
        <w:spacing w:lineRule="auto" w:line="360" w:before="0" w:after="0"/>
        <w:jc w:val="both"/>
        <w:rPr>
          <w:rFonts w:ascii="Times New Roman" w:hAnsi="Times New Roman" w:cs="Times New Roman"/>
        </w:rPr>
      </w:pPr>
      <w:r>
        <w:rPr>
          <w:rFonts w:cs="Times New Roman" w:ascii="Times New Roman" w:hAnsi="Times New Roman"/>
        </w:rPr>
        <w:t>Wpisuje się również w dokumenty strategiczne zaplanowane dla nowego okresu programowania  min. Strategii Przyspieszenia 2030+ Województwa Kujawsko-Pomorskiego RPO Województwa Kujawsko-Pomorskiego. Cel strategiczny i cele szczegółowe LPRG wpisują się w Cel główny: 3. Konkurencyjna gospodarka oraz związane z nim Cele operacyjne: 31. Odbudowa gospodarki po COVID-19, 32. Innowacyjna gospodarka – nauka, badania i wdrożenia, 33. Rozwój przedsiębiorczości, 34. Rozwój sektora rolno-spożywczego, 35. Rozwój turystyki, 36. Internacjonalizacja gospodarki, 37. Nowoczesny rynek pracy. Związek z tym celem determinuję również zgodność LPRG z pozostałymi planowanymi programami rozwoju/polityk wojewódzkich, bezpośrednio nawiązujących do przedmiotu celu głównego „3. Konkurencyjna gospodarka” oraz stanowiących rozwinięcie,</w:t>
      </w:r>
    </w:p>
    <w:p>
      <w:pPr>
        <w:pStyle w:val="Normal"/>
        <w:spacing w:lineRule="auto" w:line="360" w:before="0" w:after="0"/>
        <w:jc w:val="both"/>
        <w:rPr>
          <w:rFonts w:ascii="Times New Roman" w:hAnsi="Times New Roman" w:cs="Times New Roman"/>
        </w:rPr>
      </w:pPr>
      <w:r>
        <w:rPr>
          <w:rFonts w:cs="Times New Roman" w:ascii="Times New Roman" w:hAnsi="Times New Roman"/>
        </w:rPr>
        <w:t>uszczegółowienie i operacjonalizację działań w tym zakresie min:</w:t>
      </w:r>
    </w:p>
    <w:p>
      <w:pPr>
        <w:pStyle w:val="Normal"/>
        <w:spacing w:lineRule="auto" w:line="360" w:before="0" w:after="0"/>
        <w:jc w:val="both"/>
        <w:rPr>
          <w:rFonts w:ascii="Times New Roman" w:hAnsi="Times New Roman" w:cs="Times New Roman"/>
        </w:rPr>
      </w:pPr>
      <w:r>
        <w:rPr>
          <w:rFonts w:cs="Times New Roman" w:ascii="Times New Roman" w:hAnsi="Times New Roman"/>
        </w:rPr>
        <w:t>- Regionalnej strategia inteligentnej specjalizacji (RIS3) 2021+</w:t>
      </w:r>
    </w:p>
    <w:p>
      <w:pPr>
        <w:pStyle w:val="Normal"/>
        <w:spacing w:lineRule="auto" w:line="360" w:before="0" w:after="0"/>
        <w:jc w:val="both"/>
        <w:rPr>
          <w:rFonts w:ascii="Times New Roman" w:hAnsi="Times New Roman" w:cs="Times New Roman"/>
        </w:rPr>
      </w:pPr>
      <w:r>
        <w:rPr>
          <w:rFonts w:cs="Times New Roman" w:ascii="Times New Roman" w:hAnsi="Times New Roman"/>
        </w:rPr>
        <w:t>- Programu rozwoju gospodarczego województwa kujawsko-pomorskiego</w:t>
      </w:r>
    </w:p>
    <w:p>
      <w:pPr>
        <w:pStyle w:val="Normal"/>
        <w:spacing w:lineRule="auto" w:line="360" w:before="0" w:after="0"/>
        <w:jc w:val="both"/>
        <w:rPr>
          <w:rFonts w:ascii="Times New Roman" w:hAnsi="Times New Roman" w:cs="Times New Roman"/>
        </w:rPr>
      </w:pPr>
      <w:r>
        <w:rPr>
          <w:rFonts w:cs="Times New Roman" w:ascii="Times New Roman" w:hAnsi="Times New Roman"/>
        </w:rPr>
        <w:t>- Strategii budowy i promocji produktu turystycznego województwa kujawsko-pomorskiego</w:t>
      </w:r>
    </w:p>
    <w:p>
      <w:pPr>
        <w:pStyle w:val="Normal"/>
        <w:spacing w:lineRule="auto" w:line="360" w:before="0" w:after="0"/>
        <w:jc w:val="both"/>
        <w:rPr>
          <w:rFonts w:ascii="Times New Roman" w:hAnsi="Times New Roman" w:cs="Times New Roman"/>
        </w:rPr>
      </w:pPr>
      <w:r>
        <w:rPr>
          <w:rFonts w:cs="Times New Roman" w:ascii="Times New Roman" w:hAnsi="Times New Roman"/>
        </w:rPr>
        <w:t>- Regionalnej polityki klastrowej województwa kujawsko-pomorskiego</w:t>
      </w:r>
    </w:p>
    <w:p>
      <w:pPr>
        <w:pStyle w:val="Normal"/>
        <w:spacing w:lineRule="auto" w:line="360" w:before="0" w:after="0"/>
        <w:jc w:val="both"/>
        <w:rPr>
          <w:rFonts w:ascii="Times New Roman" w:hAnsi="Times New Roman" w:cs="Times New Roman"/>
        </w:rPr>
      </w:pPr>
      <w:r>
        <w:rPr>
          <w:rFonts w:cs="Times New Roman" w:ascii="Times New Roman" w:hAnsi="Times New Roman"/>
        </w:rPr>
      </w:r>
    </w:p>
    <w:p>
      <w:pPr>
        <w:pStyle w:val="Normal"/>
        <w:spacing w:lineRule="auto" w:line="360" w:before="0" w:after="0"/>
        <w:jc w:val="both"/>
        <w:rPr>
          <w:rFonts w:ascii="Times New Roman" w:hAnsi="Times New Roman" w:cs="Times New Roman"/>
        </w:rPr>
      </w:pPr>
      <w:r>
        <w:rPr>
          <w:rFonts w:cs="Times New Roman" w:ascii="Times New Roman" w:hAnsi="Times New Roman"/>
        </w:rPr>
        <w:t>Program Rozwoju Gospodarczego Gminy Choceń wpisuje się w poprzednie (dopiero zakończone) krajowe dokumenty strategiczne min  Projekt wpisuje się w cele Strategii Rozwoju Kraju 2020, Obszar Strategiczny II "Konkurencyjna gospodarka". Poprzez świadczenie specjalistycznych usług proinnowacyjnych na rzecz MŚP, projekt potencjalnie przyczyni się do realizacji następujących celów Strategii: - II.1.4. Rozwój eksportu towarów i usług - II.2.Wzrost wydajności gospodarki - II.2.1. Zwiększenie produktywności gospodarki - II.2.2. Wzrost udziału przemysłów i usług średnio i wysoko zaawansowanych technologicznie - II.3. Zwiększenie innowacyjności gospodarki - II.3.4. Zwiększenie wykorzystania rozwiązań innowacyjnych</w:t>
      </w:r>
    </w:p>
    <w:p>
      <w:pPr>
        <w:pStyle w:val="Normal"/>
        <w:spacing w:lineRule="auto" w:line="360" w:before="0" w:after="0"/>
        <w:jc w:val="both"/>
        <w:rPr>
          <w:rFonts w:ascii="Times New Roman" w:hAnsi="Times New Roman" w:cs="Times New Roman"/>
        </w:rPr>
      </w:pPr>
      <w:r>
        <w:rPr>
          <w:rFonts w:cs="Times New Roman" w:ascii="Times New Roman" w:hAnsi="Times New Roman"/>
        </w:rPr>
        <w:t>Działania inwestycyjne podejmowane przez samorząd lokalny powinny być zbieżne z celami ustalonymi na poziomie Unii Europejskiej. Poniżej znajduje się powiązanie wskaźników kontekstowych z LPRG dla Gminy Choceń z dokumentami strategicznymi przyjętymi na poziomie europejskim.  LPRG Gminy Choceń należy powiązać z:</w:t>
      </w:r>
    </w:p>
    <w:p>
      <w:pPr>
        <w:pStyle w:val="ListParagraph"/>
        <w:numPr>
          <w:ilvl w:val="0"/>
          <w:numId w:val="2"/>
        </w:numPr>
        <w:spacing w:lineRule="auto" w:line="360"/>
        <w:jc w:val="both"/>
        <w:rPr>
          <w:sz w:val="22"/>
          <w:szCs w:val="22"/>
        </w:rPr>
      </w:pPr>
      <w:r>
        <w:rPr>
          <w:sz w:val="22"/>
          <w:szCs w:val="22"/>
        </w:rPr>
        <w:t>Strategią Europejski Zielony Ład – w zakresie zgodności z Celem operacyjnym „Zwiększenie efektywności energetycznej i ograniczanie  emisji gazów cieplarnianych”</w:t>
      </w:r>
    </w:p>
    <w:p>
      <w:pPr>
        <w:pStyle w:val="ListParagraph"/>
        <w:numPr>
          <w:ilvl w:val="0"/>
          <w:numId w:val="2"/>
        </w:numPr>
        <w:spacing w:lineRule="auto" w:line="360"/>
        <w:jc w:val="both"/>
        <w:rPr>
          <w:sz w:val="22"/>
          <w:szCs w:val="22"/>
        </w:rPr>
      </w:pPr>
      <w:r>
        <w:rPr>
          <w:sz w:val="22"/>
          <w:szCs w:val="22"/>
        </w:rPr>
        <w:t>Strategią MŚP na rzecz zrównoważonej i cyfrowej Europy oraz Transformacją cyfrową w Europie 2030 poprzez nadanie priorytetowi w zakresie tworzenia infrastruktury technicznej dopasowanej do potrzeb przedsiębiorców (światłowód)</w:t>
      </w:r>
    </w:p>
    <w:p>
      <w:pPr>
        <w:pStyle w:val="ListParagraph"/>
        <w:numPr>
          <w:ilvl w:val="0"/>
          <w:numId w:val="2"/>
        </w:numPr>
        <w:spacing w:lineRule="auto" w:line="360"/>
        <w:jc w:val="both"/>
        <w:rPr>
          <w:sz w:val="22"/>
          <w:szCs w:val="22"/>
        </w:rPr>
      </w:pPr>
      <w:r>
        <w:rPr>
          <w:sz w:val="22"/>
          <w:szCs w:val="22"/>
        </w:rPr>
        <w:t>Nową strategią przemysłową dla Europy w zakresie pozostałych celów bezpośrednio powiązanych z przyjętymi w tym dokumencie strategicznymi celami odnoszącymi się do wzrostu produktywności, konkurencyjności oraz innowacyjności europejskiej gospodarki.</w:t>
      </w:r>
    </w:p>
    <w:p>
      <w:pPr>
        <w:pStyle w:val="Nagwek1"/>
        <w:rPr>
          <w:rFonts w:ascii="Times New Roman" w:hAnsi="Times New Roman" w:cs="Times New Roman"/>
        </w:rPr>
      </w:pPr>
      <w:bookmarkStart w:id="43" w:name="_Toc85228980"/>
      <w:r>
        <w:rPr>
          <w:rStyle w:val="Nagwek1Znak"/>
          <w:rFonts w:cs="Times New Roman" w:ascii="Times New Roman" w:hAnsi="Times New Roman"/>
        </w:rPr>
        <w:t>Rozdział 6. System wdrażania Lokalnego Programu Rozwoju Gospodarczego</w:t>
      </w:r>
      <w:bookmarkEnd w:id="43"/>
      <w:r>
        <w:rPr>
          <w:rFonts w:cs="Times New Roman" w:ascii="Times New Roman" w:hAnsi="Times New Roman"/>
        </w:rPr>
        <w:t xml:space="preserve"> </w:t>
      </w:r>
    </w:p>
    <w:p>
      <w:pPr>
        <w:pStyle w:val="Nagwek2"/>
        <w:rPr>
          <w:rFonts w:ascii="Times New Roman" w:hAnsi="Times New Roman" w:cs="Times New Roman"/>
        </w:rPr>
      </w:pPr>
      <w:bookmarkStart w:id="44" w:name="_Toc85228981"/>
      <w:r>
        <w:rPr>
          <w:rFonts w:cs="Times New Roman" w:ascii="Times New Roman" w:hAnsi="Times New Roman"/>
        </w:rPr>
        <w:t>6.1. Analiza instytucjonalna i przyjęcie LPRG</w:t>
      </w:r>
      <w:bookmarkEnd w:id="44"/>
    </w:p>
    <w:p>
      <w:pPr>
        <w:pStyle w:val="Paragraph"/>
        <w:spacing w:lineRule="auto" w:line="360" w:beforeAutospacing="0" w:before="0" w:afterAutospacing="0" w:after="0"/>
        <w:jc w:val="both"/>
        <w:textAlignment w:val="baseline"/>
        <w:rPr>
          <w:sz w:val="22"/>
          <w:szCs w:val="22"/>
        </w:rPr>
      </w:pPr>
      <w:r>
        <w:rPr>
          <w:sz w:val="22"/>
          <w:szCs w:val="22"/>
        </w:rPr>
      </w:r>
    </w:p>
    <w:p>
      <w:pPr>
        <w:pStyle w:val="Paragraph"/>
        <w:spacing w:lineRule="auto" w:line="360" w:beforeAutospacing="0" w:before="0" w:afterAutospacing="0" w:after="0"/>
        <w:jc w:val="both"/>
        <w:textAlignment w:val="baseline"/>
        <w:rPr>
          <w:sz w:val="22"/>
          <w:szCs w:val="22"/>
        </w:rPr>
      </w:pPr>
      <w:r>
        <w:rPr>
          <w:sz w:val="22"/>
          <w:szCs w:val="22"/>
        </w:rPr>
        <w:t>Schemat działań w zakresie opracowania LPRG:</w:t>
      </w:r>
    </w:p>
    <w:p>
      <w:pPr>
        <w:pStyle w:val="Paragraph"/>
        <w:numPr>
          <w:ilvl w:val="0"/>
          <w:numId w:val="4"/>
        </w:numPr>
        <w:spacing w:lineRule="auto" w:line="360" w:beforeAutospacing="0" w:before="0" w:afterAutospacing="0" w:after="0"/>
        <w:jc w:val="both"/>
        <w:textAlignment w:val="baseline"/>
        <w:rPr>
          <w:sz w:val="22"/>
          <w:szCs w:val="22"/>
        </w:rPr>
      </w:pPr>
      <w:r>
        <w:rPr>
          <w:sz w:val="22"/>
          <w:szCs w:val="22"/>
        </w:rPr>
        <w:t xml:space="preserve">Opracowanie projektu dokumentu przez wójta </w:t>
      </w:r>
    </w:p>
    <w:p>
      <w:pPr>
        <w:pStyle w:val="Paragraph"/>
        <w:numPr>
          <w:ilvl w:val="0"/>
          <w:numId w:val="4"/>
        </w:numPr>
        <w:spacing w:lineRule="auto" w:line="360" w:beforeAutospacing="0" w:before="0" w:afterAutospacing="0" w:after="0"/>
        <w:jc w:val="both"/>
        <w:textAlignment w:val="baseline"/>
        <w:rPr>
          <w:sz w:val="22"/>
          <w:szCs w:val="22"/>
        </w:rPr>
      </w:pPr>
      <w:r>
        <w:rPr>
          <w:sz w:val="22"/>
          <w:szCs w:val="22"/>
        </w:rPr>
        <w:t>Ustalenie podstawowych parametrów dotyczących przeprowadzanych konsultacji:</w:t>
      </w:r>
    </w:p>
    <w:p>
      <w:pPr>
        <w:pStyle w:val="Paragraph"/>
        <w:numPr>
          <w:ilvl w:val="1"/>
          <w:numId w:val="4"/>
        </w:numPr>
        <w:spacing w:lineRule="auto" w:line="360" w:beforeAutospacing="0" w:before="0" w:afterAutospacing="0" w:after="0"/>
        <w:jc w:val="both"/>
        <w:textAlignment w:val="baseline"/>
        <w:rPr>
          <w:sz w:val="22"/>
          <w:szCs w:val="22"/>
        </w:rPr>
      </w:pPr>
      <w:r>
        <w:rPr>
          <w:sz w:val="22"/>
          <w:szCs w:val="22"/>
        </w:rPr>
        <w:t>terminu przeprowadzania konsultacji. Termin ten nie może być krótszy niż 35 dni (wymóg art. 6 ust. 5 ustawy o zasadach prowadzenia rozwoju), co oznacza,że minimalny termin wynosi albo 35 dni (jeśli uchwała rady gminy ws. konsultacji przewiduje termin krótszy), albo termin określony w uchwale rady gminy;</w:t>
      </w:r>
    </w:p>
    <w:p>
      <w:pPr>
        <w:pStyle w:val="Paragraph"/>
        <w:numPr>
          <w:ilvl w:val="1"/>
          <w:numId w:val="4"/>
        </w:numPr>
        <w:spacing w:lineRule="auto" w:line="360" w:beforeAutospacing="0" w:before="0" w:afterAutospacing="0" w:after="0"/>
        <w:jc w:val="both"/>
        <w:textAlignment w:val="baseline"/>
        <w:rPr>
          <w:sz w:val="22"/>
          <w:szCs w:val="22"/>
        </w:rPr>
      </w:pPr>
      <w:r>
        <w:rPr>
          <w:sz w:val="22"/>
          <w:szCs w:val="22"/>
        </w:rPr>
        <w:t>ustalenie sposobu przekazywania uwag do projektu. Sposób powinien wynikać z uchwały rady gminy ws. konsultacji. Postuluje się wykorzystanie równolegle dwóch sposobów – elektronicznie (mail, formularz na stronie internetowej, itp.) oraz klasyczne (np. skrzynka w urzędzie gminy/miasta). Rekomenduje się przygotowanie formularzy służących zgłaszaniu uwag;</w:t>
      </w:r>
    </w:p>
    <w:p>
      <w:pPr>
        <w:pStyle w:val="Paragraph"/>
        <w:numPr>
          <w:ilvl w:val="1"/>
          <w:numId w:val="4"/>
        </w:numPr>
        <w:spacing w:lineRule="auto" w:line="360" w:beforeAutospacing="0" w:before="0" w:afterAutospacing="0" w:after="0"/>
        <w:jc w:val="both"/>
        <w:textAlignment w:val="baseline"/>
        <w:rPr>
          <w:sz w:val="22"/>
          <w:szCs w:val="22"/>
        </w:rPr>
      </w:pPr>
      <w:r>
        <w:rPr>
          <w:sz w:val="22"/>
          <w:szCs w:val="22"/>
        </w:rPr>
        <w:t>wyznaczenie liczby, terminów i miejsc spotkań konsultacyjnych. Wyznaczone musi być co najmniej jedno spotkanie, chyba że uchwała rady gminy ws. konsultacji przewiduje większą liczbę spotkań. </w:t>
      </w:r>
    </w:p>
    <w:p>
      <w:pPr>
        <w:pStyle w:val="Paragraph"/>
        <w:numPr>
          <w:ilvl w:val="0"/>
          <w:numId w:val="5"/>
        </w:numPr>
        <w:spacing w:lineRule="auto" w:line="360" w:beforeAutospacing="0" w:before="0" w:afterAutospacing="0" w:after="0"/>
        <w:ind w:left="0" w:hanging="0"/>
        <w:jc w:val="both"/>
        <w:textAlignment w:val="baseline"/>
        <w:rPr>
          <w:sz w:val="22"/>
          <w:szCs w:val="22"/>
        </w:rPr>
      </w:pPr>
      <w:r>
        <w:rPr>
          <w:sz w:val="22"/>
          <w:szCs w:val="22"/>
        </w:rPr>
        <w:t>Skierowanie projektu LPRG do konsultacji przez wójta. Czynność ta nie wymaga konkretyzacji w odrębnym dokumencie – wystarczające jest wydanie pracownikom poleceń służbowych niezbędnych do uruchomienia procesu konsultacji. Jeśli jednak w danej gminie jest wola sporządzenia takiego dokumentu to powinien on mieć postać zarządzenia opartego na następującego podstawie prawnej „Na podstawie art.18 ust. 3 oraz19a ust. 2w zw. z art. 6 ust. 4 ustawy z dnia 6 grudnia 2006 r. o zasadach prowadzenia polityki rozwoju (t.j. Dz.U. z 2021 r. poz. 1057)”.</w:t>
      </w:r>
    </w:p>
    <w:p>
      <w:pPr>
        <w:pStyle w:val="Paragraph"/>
        <w:numPr>
          <w:ilvl w:val="0"/>
          <w:numId w:val="6"/>
        </w:numPr>
        <w:spacing w:lineRule="auto" w:line="360" w:beforeAutospacing="0" w:before="0" w:afterAutospacing="0" w:after="0"/>
        <w:ind w:left="0" w:hanging="0"/>
        <w:jc w:val="both"/>
        <w:textAlignment w:val="baseline"/>
        <w:rPr>
          <w:sz w:val="22"/>
          <w:szCs w:val="22"/>
        </w:rPr>
      </w:pPr>
      <w:r>
        <w:rPr>
          <w:sz w:val="22"/>
          <w:szCs w:val="22"/>
        </w:rPr>
        <w:t>Zamieszczenie projektu LPRG na stronie internetowej gminy.</w:t>
      </w:r>
    </w:p>
    <w:p>
      <w:pPr>
        <w:pStyle w:val="Paragraph"/>
        <w:numPr>
          <w:ilvl w:val="0"/>
          <w:numId w:val="7"/>
        </w:numPr>
        <w:spacing w:lineRule="auto" w:line="360" w:beforeAutospacing="0" w:before="0" w:afterAutospacing="0" w:after="0"/>
        <w:ind w:left="0" w:hanging="0"/>
        <w:jc w:val="both"/>
        <w:textAlignment w:val="baseline"/>
        <w:rPr>
          <w:sz w:val="22"/>
          <w:szCs w:val="22"/>
        </w:rPr>
      </w:pPr>
      <w:r>
        <w:rPr>
          <w:sz w:val="22"/>
          <w:szCs w:val="22"/>
        </w:rPr>
        <w:t>Ogłoszenie informacji o przeprowadzanych konsultacjach co najmniej na własnej stronie internetowej (wymóg z art. 6 ust. 4 ustawy o zasadach prowadzenia polityki rozwoju) i w sposób określony w uchwale rady gminy ws. Konsultacji. Dopuszczalne są dodatkowe sposoby poinformowania. Informacja musi zawierać co najmniej: przedmiot konsultacji, miejsce zamieszczenia dokumentu poddawanego konsultacjom, termin i sposób przekazywania uwag do projektu, termin i miejsce spotkań konsultacyjnych.</w:t>
      </w:r>
    </w:p>
    <w:p>
      <w:pPr>
        <w:pStyle w:val="Paragraph"/>
        <w:numPr>
          <w:ilvl w:val="0"/>
          <w:numId w:val="8"/>
        </w:numPr>
        <w:spacing w:lineRule="auto" w:line="360" w:beforeAutospacing="0" w:before="0" w:afterAutospacing="0" w:after="0"/>
        <w:ind w:left="0" w:hanging="0"/>
        <w:jc w:val="both"/>
        <w:textAlignment w:val="baseline"/>
        <w:rPr>
          <w:sz w:val="22"/>
          <w:szCs w:val="22"/>
        </w:rPr>
      </w:pPr>
      <w:r>
        <w:rPr>
          <w:sz w:val="22"/>
          <w:szCs w:val="22"/>
        </w:rPr>
        <w:t>Przeprowadzenie konsultacji, w tym spotkania (spotkań) konsultacyjnych.</w:t>
      </w:r>
    </w:p>
    <w:p>
      <w:pPr>
        <w:pStyle w:val="Paragraph"/>
        <w:numPr>
          <w:ilvl w:val="0"/>
          <w:numId w:val="9"/>
        </w:numPr>
        <w:spacing w:lineRule="auto" w:line="360" w:beforeAutospacing="0" w:before="0" w:afterAutospacing="0" w:after="0"/>
        <w:ind w:left="0" w:hanging="0"/>
        <w:jc w:val="both"/>
        <w:textAlignment w:val="baseline"/>
        <w:rPr>
          <w:sz w:val="22"/>
          <w:szCs w:val="22"/>
        </w:rPr>
      </w:pPr>
      <w:r>
        <w:rPr>
          <w:sz w:val="22"/>
          <w:szCs w:val="22"/>
        </w:rPr>
        <w:t>Przygotowanie sprawozdanie z przebiegu i wyników konsultacji w terminie 30 dni od upływu terminu przeprowadzania konsultacji przez wójta (burmistrza, prezydenta miasta). Sprawozdanie zawiera w szczególności ustosunkowanie się do zgłoszonych uwag wraz z uzasadnieniem.</w:t>
      </w:r>
    </w:p>
    <w:p>
      <w:pPr>
        <w:pStyle w:val="Paragraph"/>
        <w:numPr>
          <w:ilvl w:val="0"/>
          <w:numId w:val="10"/>
        </w:numPr>
        <w:spacing w:lineRule="auto" w:line="360" w:beforeAutospacing="0" w:before="0" w:afterAutospacing="0" w:after="0"/>
        <w:ind w:left="0" w:hanging="0"/>
        <w:jc w:val="both"/>
        <w:textAlignment w:val="baseline"/>
        <w:rPr>
          <w:sz w:val="22"/>
          <w:szCs w:val="22"/>
        </w:rPr>
      </w:pPr>
      <w:r>
        <w:rPr>
          <w:sz w:val="22"/>
          <w:szCs w:val="22"/>
        </w:rPr>
        <w:t>Zamieszczenie sprawozdania z przeprowadzonych konsultacji na stronie internetowej gminy najpóźniej w 30 dniu od upływu terminu przeprowadzania konsultacji. Uchwała rady gminy ws. konsultacji może przewidywać dalsze wymagana.</w:t>
      </w:r>
    </w:p>
    <w:p>
      <w:pPr>
        <w:pStyle w:val="Normal"/>
        <w:spacing w:lineRule="auto" w:line="360" w:before="0" w:after="0"/>
        <w:rPr>
          <w:rFonts w:ascii="Times New Roman" w:hAnsi="Times New Roman" w:cs="Times New Roman"/>
          <w:lang w:val="pl" w:eastAsia="pl-PL"/>
        </w:rPr>
      </w:pPr>
      <w:r>
        <w:rPr>
          <w:rFonts w:cs="Times New Roman" w:ascii="Times New Roman" w:hAnsi="Times New Roman"/>
          <w:lang w:val="pl" w:eastAsia="pl-PL"/>
        </w:rPr>
      </w:r>
    </w:p>
    <w:p>
      <w:pPr>
        <w:pStyle w:val="Normal"/>
        <w:spacing w:lineRule="auto" w:line="360" w:before="0" w:after="0"/>
        <w:rPr>
          <w:rFonts w:ascii="Times New Roman" w:hAnsi="Times New Roman" w:cs="Times New Roman"/>
        </w:rPr>
      </w:pPr>
      <w:r>
        <w:rPr/>
        <w:drawing>
          <wp:inline distT="38100" distB="27940" distL="0" distR="23495" wp14:anchorId="0D9E1E99">
            <wp:extent cx="5674360" cy="4032250"/>
            <wp:effectExtent l="0" t="38100" r="23495" b="27940"/>
            <wp:docPr id="24" name="Diagram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pPr>
        <w:pStyle w:val="Paragraph"/>
        <w:spacing w:lineRule="auto" w:line="360" w:beforeAutospacing="0" w:before="0" w:afterAutospacing="0" w:after="0"/>
        <w:jc w:val="both"/>
        <w:textAlignment w:val="baseline"/>
        <w:rPr>
          <w:rStyle w:val="Normaltextrun"/>
          <w:sz w:val="22"/>
          <w:szCs w:val="22"/>
          <w:u w:val="single"/>
        </w:rPr>
      </w:pPr>
      <w:r>
        <w:rPr>
          <w:sz w:val="22"/>
          <w:szCs w:val="22"/>
          <w:u w:val="single"/>
        </w:rPr>
      </w:r>
    </w:p>
    <w:p>
      <w:pPr>
        <w:pStyle w:val="Paragraph"/>
        <w:spacing w:lineRule="auto" w:line="360" w:beforeAutospacing="0" w:before="0" w:afterAutospacing="0" w:after="0"/>
        <w:jc w:val="both"/>
        <w:textAlignment w:val="baseline"/>
        <w:rPr>
          <w:sz w:val="22"/>
          <w:szCs w:val="22"/>
        </w:rPr>
      </w:pPr>
      <w:r>
        <w:rPr>
          <w:sz w:val="22"/>
          <w:szCs w:val="22"/>
        </w:rPr>
        <w:t>Uwagi wstępne dot. przyjęcia LPRG</w:t>
      </w:r>
    </w:p>
    <w:p>
      <w:pPr>
        <w:pStyle w:val="Paragraph"/>
        <w:spacing w:lineRule="auto" w:line="360" w:beforeAutospacing="0" w:before="0" w:afterAutospacing="0" w:after="0"/>
        <w:jc w:val="both"/>
        <w:textAlignment w:val="baseline"/>
        <w:rPr>
          <w:sz w:val="22"/>
          <w:szCs w:val="22"/>
        </w:rPr>
      </w:pPr>
      <w:r>
        <w:rPr>
          <w:sz w:val="22"/>
          <w:szCs w:val="22"/>
        </w:rPr>
      </w:r>
    </w:p>
    <w:p>
      <w:pPr>
        <w:pStyle w:val="Paragraph"/>
        <w:numPr>
          <w:ilvl w:val="0"/>
          <w:numId w:val="3"/>
        </w:numPr>
        <w:spacing w:lineRule="auto" w:line="360" w:beforeAutospacing="0" w:before="0" w:afterAutospacing="0" w:after="0"/>
        <w:ind w:left="0" w:hanging="0"/>
        <w:jc w:val="both"/>
        <w:textAlignment w:val="baseline"/>
        <w:rPr>
          <w:sz w:val="22"/>
          <w:szCs w:val="22"/>
        </w:rPr>
      </w:pPr>
      <w:r>
        <w:rPr>
          <w:sz w:val="22"/>
          <w:szCs w:val="22"/>
        </w:rPr>
        <w:t>Zgodnie z art. 5a ust. 1 ustawy z dnia 8 marca 1990 r.o samorządzie gminnym (t.j. Dz.U. z 2021 r. poz. 1372)w przypadkach przewidzianych ustawą oraz w innych sprawach ważnych dla gminy mogą być przeprowadzane na jej terytorium konsultacje z mieszkańcami gminy. Ust. 2 przywołanego artykułu wskazuje, że zasady i tryb przeprowadzania konsultacji z mieszkańcami gmin określa uchwała rady gminy.</w:t>
      </w:r>
    </w:p>
    <w:p>
      <w:pPr>
        <w:pStyle w:val="Paragraph"/>
        <w:numPr>
          <w:ilvl w:val="0"/>
          <w:numId w:val="3"/>
        </w:numPr>
        <w:spacing w:lineRule="auto" w:line="360" w:beforeAutospacing="0" w:before="0" w:afterAutospacing="0" w:after="0"/>
        <w:ind w:left="0" w:hanging="0"/>
        <w:jc w:val="both"/>
        <w:textAlignment w:val="baseline"/>
        <w:rPr>
          <w:sz w:val="22"/>
          <w:szCs w:val="22"/>
        </w:rPr>
      </w:pPr>
      <w:r>
        <w:rPr>
          <w:sz w:val="22"/>
          <w:szCs w:val="22"/>
        </w:rPr>
        <w:t>Lokalny Program Rozwoju Gospodarczego należy traktować jako program rozwoju w rozumieniu art. 15 ust. 1 i ust. 4 pkt 2 ustawy z dnia 6 grudnia 2006 r. o zasadach prowadzenia polityki rozwoju (t.j. Dz.U. z 2021 r. poz. 1057). Zgodnie z art. 19a ust. 1 przywołanej ustawy wskazano, że projekty programów podlegają konsultacjom z partnerami społecznymi i gospodarczymi. Choć przepis ten nie odwołuje się bezpośrednio do pojęcia „mieszkańców gminy” należy je traktować za szczególny przypadek konsultacji określonych w art. 5a ust. 1 ustawy o samorządzie gminnym. Tryb konsultacji powinien być oparty na trybie wynikającym z uchwały rady gminy wydanej na podstawie art. 5a ust. 2 ustawy o samorządzie gminnym – z uwzględnieniem warunków wynikających z ustawy o zasadach prowadzenia polityki rozwoju. W praktyce oznacza to, że jeśli ustawa o zasadach prowadzenia polityki rozwoju przewiduje rozwiązania korzystniejsze dla podmiotów konsultowanych to stosowane są te rozwiązania, a nie treść uchwały rady gminy.</w:t>
      </w:r>
    </w:p>
    <w:p>
      <w:pPr>
        <w:pStyle w:val="Nagwek2"/>
        <w:rPr>
          <w:rFonts w:ascii="Times New Roman" w:hAnsi="Times New Roman" w:cs="Times New Roman"/>
        </w:rPr>
      </w:pPr>
      <w:bookmarkStart w:id="45" w:name="_Toc85228982"/>
      <w:r>
        <w:rPr>
          <w:rFonts w:cs="Times New Roman" w:ascii="Times New Roman" w:hAnsi="Times New Roman"/>
        </w:rPr>
        <w:t>6.2. Prognoza finansowa wdrożenia LPRG</w:t>
      </w:r>
      <w:bookmarkEnd w:id="45"/>
    </w:p>
    <w:p>
      <w:pPr>
        <w:pStyle w:val="Normal"/>
        <w:spacing w:lineRule="auto" w:line="360" w:before="0" w:after="0"/>
        <w:rPr>
          <w:rFonts w:ascii="Times New Roman" w:hAnsi="Times New Roman" w:cs="Times New Roman"/>
          <w:lang w:val="pl" w:eastAsia="pl-PL"/>
        </w:rPr>
      </w:pPr>
      <w:r>
        <w:rPr>
          <w:rFonts w:cs="Times New Roman" w:ascii="Times New Roman" w:hAnsi="Times New Roman"/>
          <w:lang w:val="pl" w:eastAsia="pl-PL"/>
        </w:rPr>
      </w:r>
    </w:p>
    <w:p>
      <w:pPr>
        <w:pStyle w:val="Normal"/>
        <w:spacing w:lineRule="auto" w:line="360" w:before="0" w:after="0"/>
        <w:jc w:val="both"/>
        <w:rPr>
          <w:rFonts w:ascii="Times New Roman" w:hAnsi="Times New Roman" w:cs="Times New Roman"/>
        </w:rPr>
      </w:pPr>
      <w:r>
        <w:rPr>
          <w:rFonts w:cs="Times New Roman" w:ascii="Times New Roman" w:hAnsi="Times New Roman"/>
        </w:rPr>
        <w:t>Źródłem finansowania inicjatyw przedstawionych w Lokalnym Programie Rozwoju Gospodarczego  będą środki finansowe pochodzące nie tylko z budżetu Gminy Choceń, ale także ze źródeł zewnętrznych, wśród których należy wymienić m. in.: budżet państwa, programy pomocowe UE, fundacji i organizacji, instytucji finansowych i funduszy inwestycyjnych, rządowych programów, od inwestorów oraz innych źródeł. Część zadań ze względu na znaczne koszty może zostać zrealizowana tylko przy wsparciu środków zewnętrznych. Niektóre z zadań zaś będą zależeć od innych podmiotów (inwestorów, stowarzyszeń, organizacji, mieszkańców) i nie będą mogły być finansowane z budżetu gminy, a działania władz gminnych polegać będą jedynie na zachęcaniu, czy stwarzaniu możliwości współpracy. Aby efektywniej pozyskiwać fundusze zewnętrzne Gmina Choceń razem z innymi podmiotami z sektora publicznego, gospodarczego, społecznego oraz mieszkańcami Powiatu Włocławskiego tworzy Lokalną Grupę Działania Dorzecza Zgłowiączki i aktywnie uczestniczy w aplikowaniu o środki z Unii Europejskiej. W ramach przyjętych w Polsce programów operacyjnych, w tym regionalnych programów operacyjnych środki z perspektywy finansowej 2021-2027 należy się spodziewać środków z następujących źródeł:</w:t>
      </w:r>
    </w:p>
    <w:p>
      <w:pPr>
        <w:pStyle w:val="ListParagraph"/>
        <w:numPr>
          <w:ilvl w:val="0"/>
          <w:numId w:val="11"/>
        </w:numPr>
        <w:spacing w:lineRule="auto" w:line="360"/>
        <w:rPr>
          <w:sz w:val="22"/>
          <w:szCs w:val="22"/>
        </w:rPr>
      </w:pPr>
      <w:r>
        <w:rPr>
          <w:sz w:val="22"/>
          <w:szCs w:val="22"/>
        </w:rPr>
        <w:t>Europejskiego Funduszu Rozwoju Regionalnego (EFRR), którego celem jest wzmocnienie spójności społecznej i gospodarczej UE poprzez łagodzenie dysproporcji w rozwoju europejskich regionów,</w:t>
      </w:r>
    </w:p>
    <w:p>
      <w:pPr>
        <w:pStyle w:val="ListParagraph"/>
        <w:numPr>
          <w:ilvl w:val="0"/>
          <w:numId w:val="11"/>
        </w:numPr>
        <w:spacing w:lineRule="auto" w:line="360"/>
        <w:rPr>
          <w:sz w:val="22"/>
          <w:szCs w:val="22"/>
        </w:rPr>
      </w:pPr>
      <w:r>
        <w:rPr>
          <w:sz w:val="22"/>
          <w:szCs w:val="22"/>
        </w:rPr>
        <w:t>Funduszu Spójności (FS), którego celem jest zredukowanie obecnych dysproporcji gospodarczych i społecznych, a również promowanie zrównoważonego rozwoju poprzez realizację strategicznych projektów w obszarach związanych z ochroną środowiska i transportem,</w:t>
      </w:r>
    </w:p>
    <w:p>
      <w:pPr>
        <w:pStyle w:val="ListParagraph"/>
        <w:numPr>
          <w:ilvl w:val="0"/>
          <w:numId w:val="11"/>
        </w:numPr>
        <w:spacing w:lineRule="auto" w:line="360"/>
        <w:rPr>
          <w:sz w:val="22"/>
          <w:szCs w:val="22"/>
        </w:rPr>
      </w:pPr>
      <w:r>
        <w:rPr>
          <w:sz w:val="22"/>
          <w:szCs w:val="22"/>
        </w:rPr>
        <w:t>Europejskiego Funduszu Społecznego +, którego celem jest odpowiedź na wyzwania rynku pracy i wyzwania społeczne oraz stymulowanie zrównoważonego rozwoju gospodarczego poprzez inwestowanie w kapitał ludzki. EFS + stanowić będzie połączenie ze sobą kilku instrumentów, które w perspektywie finansowej 2014-2020 funkcjonowały oddzielnie, odpowiednio: Europejskiego Funduszu Społecznego, Inicjatywny na rzecz osób młodych (YEI),</w:t>
      </w:r>
    </w:p>
    <w:p>
      <w:pPr>
        <w:pStyle w:val="ListParagraph"/>
        <w:numPr>
          <w:ilvl w:val="0"/>
          <w:numId w:val="11"/>
        </w:numPr>
        <w:spacing w:lineRule="auto" w:line="360"/>
        <w:rPr>
          <w:sz w:val="22"/>
          <w:szCs w:val="22"/>
        </w:rPr>
      </w:pPr>
      <w:r>
        <w:rPr>
          <w:sz w:val="22"/>
          <w:szCs w:val="22"/>
        </w:rPr>
        <w:t>Europejskiego Fundusz Pomocy Najbardziej Potrzebującym (FEAD) oraz Europejskiego Programu na rzecz Zatrudnienia i Innowacji Społecznych (EaSI),</w:t>
      </w:r>
    </w:p>
    <w:p>
      <w:pPr>
        <w:pStyle w:val="ListParagraph"/>
        <w:numPr>
          <w:ilvl w:val="0"/>
          <w:numId w:val="11"/>
        </w:numPr>
        <w:spacing w:lineRule="auto" w:line="360"/>
        <w:rPr>
          <w:sz w:val="22"/>
          <w:szCs w:val="22"/>
        </w:rPr>
      </w:pPr>
      <w:r>
        <w:rPr>
          <w:sz w:val="22"/>
          <w:szCs w:val="22"/>
        </w:rPr>
        <w:t>Funduszu na rzecz unijnej polityki morskiej i rybołówstwa (EFMR), którego celem jest wsparcie społeczności nadmorskich,</w:t>
      </w:r>
    </w:p>
    <w:p>
      <w:pPr>
        <w:pStyle w:val="ListParagraph"/>
        <w:numPr>
          <w:ilvl w:val="0"/>
          <w:numId w:val="11"/>
        </w:numPr>
        <w:spacing w:lineRule="auto" w:line="360"/>
        <w:rPr>
          <w:sz w:val="22"/>
          <w:szCs w:val="22"/>
        </w:rPr>
      </w:pPr>
      <w:r>
        <w:rPr>
          <w:sz w:val="22"/>
          <w:szCs w:val="22"/>
        </w:rPr>
        <w:t xml:space="preserve">Funduszu Sprawiedliwej Transformacji, którego celem jest łagodzenie skutków społecznych i gospodarczych związanych z transformacją energetyczną. </w:t>
      </w:r>
      <w:r>
        <w:rPr>
          <w:rStyle w:val="Zakotwiczenieprzypisudolnego"/>
          <w:sz w:val="22"/>
          <w:szCs w:val="22"/>
        </w:rPr>
        <w:footnoteReference w:id="2"/>
      </w:r>
    </w:p>
    <w:p>
      <w:pPr>
        <w:pStyle w:val="Normal"/>
        <w:spacing w:lineRule="auto" w:line="360" w:before="0" w:after="0"/>
        <w:rPr>
          <w:rFonts w:ascii="Times New Roman" w:hAnsi="Times New Roman" w:cs="Times New Roman"/>
        </w:rPr>
      </w:pPr>
      <w:r>
        <w:rPr>
          <w:rFonts w:cs="Times New Roman" w:ascii="Times New Roman" w:hAnsi="Times New Roman"/>
        </w:rPr>
      </w:r>
    </w:p>
    <w:p>
      <w:pPr>
        <w:pStyle w:val="Normal"/>
        <w:spacing w:lineRule="auto" w:line="360" w:before="0" w:after="0"/>
        <w:jc w:val="both"/>
        <w:rPr>
          <w:rFonts w:ascii="Times New Roman" w:hAnsi="Times New Roman" w:cs="Times New Roman"/>
        </w:rPr>
      </w:pPr>
      <w:r>
        <w:rPr>
          <w:rFonts w:cs="Times New Roman" w:ascii="Times New Roman" w:hAnsi="Times New Roman"/>
        </w:rPr>
        <w:t xml:space="preserve">W kontekście priorytetów i celów zgodnie z piątym celem polityki spójności, „Europa bliżej obywateli”, Komisja będzie w dalszym ciągu wspierać lokalnie zarządzane strategie rozwoju opracowywane na poziomie jak najbliższym obywateli.  Te lokalne strategie, w formie istniejących „zintegrowanych inwestycji terytorialnych” i „instrumenty rozwoju lokalnego kierowanego przez społeczność”, powinny być opracowywane i zatwierdzane przez właściwe organy lokalne lub terytorialne, które powinny być bardziej zaangażowane w wybór projektów finansowanych przez UE lub też za nie odpowiedzialne. „Rozwój lokalny kierowany przez społeczność” powinien wspierać zmiany strukturalne i umacniać innowacyjność na szczeblu lokalnym. </w:t>
      </w:r>
      <w:r>
        <w:rPr>
          <w:rFonts w:cs="Times New Roman" w:ascii="Times New Roman" w:hAnsi="Times New Roman"/>
          <w:b/>
          <w:bCs/>
        </w:rPr>
        <w:t xml:space="preserve">Kluczowe dla rozwoju inicjatyw zaplanowanych w LPRG Gminy Choceń wydają się Założenia Regionalnego Programu Operacyjnego Województwa Kujawsko-Pomorskiego na lata 2021-2027/  </w:t>
      </w:r>
      <w:r>
        <w:rPr>
          <w:rFonts w:cs="Times New Roman" w:ascii="Times New Roman" w:hAnsi="Times New Roman"/>
        </w:rPr>
        <w:t>Działania planowane w nowej perspektywie finansowej w ramach poszczególnych celów polityki to min.:</w:t>
      </w:r>
    </w:p>
    <w:p>
      <w:pPr>
        <w:pStyle w:val="NormalWeb"/>
        <w:shd w:val="clear" w:color="auto" w:fill="FFFFFF"/>
        <w:spacing w:lineRule="auto" w:line="360" w:beforeAutospacing="0" w:before="0" w:afterAutospacing="0" w:after="0"/>
        <w:jc w:val="both"/>
        <w:rPr>
          <w:sz w:val="22"/>
          <w:szCs w:val="22"/>
        </w:rPr>
      </w:pPr>
      <w:r>
        <w:rPr>
          <w:sz w:val="22"/>
          <w:szCs w:val="22"/>
        </w:rPr>
        <w:t>Obszary działań przewidziane do realizacji w ramach CP1 Bardziej inteligentna Europa</w:t>
      </w:r>
    </w:p>
    <w:p>
      <w:pPr>
        <w:pStyle w:val="Normal"/>
        <w:numPr>
          <w:ilvl w:val="0"/>
          <w:numId w:val="12"/>
        </w:numPr>
        <w:shd w:val="clear" w:color="auto" w:fill="FFFFFF"/>
        <w:spacing w:lineRule="auto" w:line="360" w:before="0" w:after="0"/>
        <w:jc w:val="both"/>
        <w:rPr>
          <w:rFonts w:ascii="Times New Roman" w:hAnsi="Times New Roman" w:cs="Times New Roman"/>
        </w:rPr>
      </w:pPr>
      <w:r>
        <w:rPr>
          <w:rFonts w:cs="Times New Roman" w:ascii="Times New Roman" w:hAnsi="Times New Roman"/>
        </w:rPr>
        <w:t>POTENCJAŁ BADAŃ I INNOWACJI (infrastruktura B+R, bony na innowacje, projekty badawczo-rozwojowe, nowoczesne usługi biznesowe IOB)</w:t>
      </w:r>
    </w:p>
    <w:p>
      <w:pPr>
        <w:pStyle w:val="Normal"/>
        <w:numPr>
          <w:ilvl w:val="0"/>
          <w:numId w:val="12"/>
        </w:numPr>
        <w:shd w:val="clear" w:color="auto" w:fill="FFFFFF"/>
        <w:spacing w:lineRule="auto" w:line="360" w:before="0" w:after="0"/>
        <w:rPr>
          <w:rFonts w:ascii="Times New Roman" w:hAnsi="Times New Roman" w:cs="Times New Roman"/>
        </w:rPr>
      </w:pPr>
      <w:r>
        <w:rPr>
          <w:rFonts w:cs="Times New Roman" w:ascii="Times New Roman" w:hAnsi="Times New Roman"/>
        </w:rPr>
        <w:t>CYFRYZACJA(e-administracja, e-zdrowie, e-kultura, e-edukacja)</w:t>
      </w:r>
    </w:p>
    <w:p>
      <w:pPr>
        <w:pStyle w:val="Normal"/>
        <w:numPr>
          <w:ilvl w:val="0"/>
          <w:numId w:val="12"/>
        </w:numPr>
        <w:shd w:val="clear" w:color="auto" w:fill="FFFFFF"/>
        <w:spacing w:lineRule="auto" w:line="360" w:before="0" w:after="0"/>
        <w:rPr>
          <w:rFonts w:ascii="Times New Roman" w:hAnsi="Times New Roman" w:cs="Times New Roman"/>
        </w:rPr>
      </w:pPr>
      <w:r>
        <w:rPr>
          <w:rFonts w:cs="Times New Roman" w:ascii="Times New Roman" w:hAnsi="Times New Roman"/>
        </w:rPr>
        <w:t>WZROST KONKURENCYJNOŚCI MŚP (inkubatory, tereny inwestycyjne, promocja gospodarki regionalnej, nowe modele biznesowe, promocja eksportu)</w:t>
      </w:r>
    </w:p>
    <w:p>
      <w:pPr>
        <w:pStyle w:val="Normal"/>
        <w:numPr>
          <w:ilvl w:val="0"/>
          <w:numId w:val="12"/>
        </w:numPr>
        <w:shd w:val="clear" w:color="auto" w:fill="FFFFFF"/>
        <w:spacing w:lineRule="auto" w:line="360" w:before="0" w:after="0"/>
        <w:rPr>
          <w:rFonts w:ascii="Times New Roman" w:hAnsi="Times New Roman" w:cs="Times New Roman"/>
        </w:rPr>
      </w:pPr>
      <w:r>
        <w:rPr>
          <w:rFonts w:cs="Times New Roman" w:ascii="Times New Roman" w:hAnsi="Times New Roman"/>
        </w:rPr>
        <w:t>ROZWIJANIE UMIEJĘTNOŚCI NA RZECZ INTELIGENTNEJ SPECJALIZACJI (regionalne agendy badawcze, sieciowanie w ramach RIS)</w:t>
      </w:r>
    </w:p>
    <w:p>
      <w:pPr>
        <w:pStyle w:val="NormalWeb"/>
        <w:shd w:val="clear" w:color="auto" w:fill="FFFFFF"/>
        <w:spacing w:lineRule="auto" w:line="360" w:beforeAutospacing="0" w:before="0" w:afterAutospacing="0" w:after="0"/>
        <w:rPr>
          <w:sz w:val="22"/>
          <w:szCs w:val="22"/>
        </w:rPr>
      </w:pPr>
      <w:r>
        <w:rPr>
          <w:sz w:val="22"/>
          <w:szCs w:val="22"/>
        </w:rPr>
        <w:t>Obszary działań przewidziane do realizacji w ramach CP2 Bardziej przyjazna dla środowiska niskoemisyjna Europa</w:t>
      </w:r>
    </w:p>
    <w:p>
      <w:pPr>
        <w:pStyle w:val="Normal"/>
        <w:numPr>
          <w:ilvl w:val="0"/>
          <w:numId w:val="13"/>
        </w:numPr>
        <w:shd w:val="clear" w:color="auto" w:fill="FFFFFF"/>
        <w:spacing w:lineRule="auto" w:line="360" w:before="0" w:after="0"/>
        <w:rPr>
          <w:rFonts w:ascii="Times New Roman" w:hAnsi="Times New Roman" w:cs="Times New Roman"/>
        </w:rPr>
      </w:pPr>
      <w:r>
        <w:rPr>
          <w:rFonts w:cs="Times New Roman" w:ascii="Times New Roman" w:hAnsi="Times New Roman"/>
        </w:rPr>
        <w:t>EFEKTYWNOŚĆ ENERGETYCZNA (budynki publiczne, mieszkalne)</w:t>
      </w:r>
    </w:p>
    <w:p>
      <w:pPr>
        <w:pStyle w:val="Normal"/>
        <w:numPr>
          <w:ilvl w:val="0"/>
          <w:numId w:val="13"/>
        </w:numPr>
        <w:shd w:val="clear" w:color="auto" w:fill="FFFFFF"/>
        <w:spacing w:lineRule="auto" w:line="360" w:before="0" w:after="0"/>
        <w:rPr>
          <w:rFonts w:ascii="Times New Roman" w:hAnsi="Times New Roman" w:cs="Times New Roman"/>
        </w:rPr>
      </w:pPr>
      <w:r>
        <w:rPr>
          <w:rFonts w:cs="Times New Roman" w:ascii="Times New Roman" w:hAnsi="Times New Roman"/>
        </w:rPr>
        <w:t>WYMIANA ŹRÓDEŁ CIEPŁA (sieci ciepłownicze, indywidualne źródła)</w:t>
      </w:r>
    </w:p>
    <w:p>
      <w:pPr>
        <w:pStyle w:val="Normal"/>
        <w:numPr>
          <w:ilvl w:val="0"/>
          <w:numId w:val="13"/>
        </w:numPr>
        <w:shd w:val="clear" w:color="auto" w:fill="FFFFFF"/>
        <w:spacing w:lineRule="auto" w:line="360" w:before="0" w:after="0"/>
        <w:rPr>
          <w:rFonts w:ascii="Times New Roman" w:hAnsi="Times New Roman" w:cs="Times New Roman"/>
        </w:rPr>
      </w:pPr>
      <w:r>
        <w:rPr>
          <w:rFonts w:cs="Times New Roman" w:ascii="Times New Roman" w:hAnsi="Times New Roman"/>
        </w:rPr>
        <w:t>ODNAWIALNE ŹRÓDŁA ENERGII (małe instalacje, mikroinstalacje, OZE w przedsiębiorstwach)</w:t>
      </w:r>
    </w:p>
    <w:p>
      <w:pPr>
        <w:pStyle w:val="Normal"/>
        <w:numPr>
          <w:ilvl w:val="0"/>
          <w:numId w:val="13"/>
        </w:numPr>
        <w:shd w:val="clear" w:color="auto" w:fill="FFFFFF"/>
        <w:spacing w:lineRule="auto" w:line="360" w:before="0" w:after="0"/>
        <w:rPr>
          <w:rFonts w:ascii="Times New Roman" w:hAnsi="Times New Roman" w:cs="Times New Roman"/>
        </w:rPr>
      </w:pPr>
      <w:r>
        <w:rPr>
          <w:rFonts w:cs="Times New Roman" w:ascii="Times New Roman" w:hAnsi="Times New Roman"/>
        </w:rPr>
        <w:t>ADAPTACJA DO ZMIAN KLIMATU (mała retencja, zagospodarowanie wód opadowych, zakup sprzętu dla służb ratowniczych -OSP)</w:t>
      </w:r>
    </w:p>
    <w:p>
      <w:pPr>
        <w:pStyle w:val="Normal"/>
        <w:numPr>
          <w:ilvl w:val="0"/>
          <w:numId w:val="13"/>
        </w:numPr>
        <w:shd w:val="clear" w:color="auto" w:fill="FFFFFF"/>
        <w:spacing w:lineRule="auto" w:line="360" w:before="0" w:after="0"/>
        <w:rPr>
          <w:rFonts w:ascii="Times New Roman" w:hAnsi="Times New Roman" w:cs="Times New Roman"/>
        </w:rPr>
      </w:pPr>
      <w:r>
        <w:rPr>
          <w:rFonts w:cs="Times New Roman" w:ascii="Times New Roman" w:hAnsi="Times New Roman"/>
        </w:rPr>
        <w:t>OCHRONA PRZYRODY I EDUKACJA EKOLOGICZNA (wspieranie obszarów chronionych)</w:t>
      </w:r>
    </w:p>
    <w:p>
      <w:pPr>
        <w:pStyle w:val="Normal"/>
        <w:numPr>
          <w:ilvl w:val="0"/>
          <w:numId w:val="13"/>
        </w:numPr>
        <w:shd w:val="clear" w:color="auto" w:fill="FFFFFF"/>
        <w:spacing w:lineRule="auto" w:line="360" w:before="0" w:after="0"/>
        <w:rPr>
          <w:rFonts w:ascii="Times New Roman" w:hAnsi="Times New Roman" w:cs="Times New Roman"/>
        </w:rPr>
      </w:pPr>
      <w:r>
        <w:rPr>
          <w:rFonts w:cs="Times New Roman" w:ascii="Times New Roman" w:hAnsi="Times New Roman"/>
        </w:rPr>
        <w:t>GOSPODARKA WODNO-ŚCIEKOWA (oczyszczalnie oraz sieci wodociągowe i kanalizacyjne w ramach KPOŚK)</w:t>
      </w:r>
    </w:p>
    <w:p>
      <w:pPr>
        <w:pStyle w:val="Normal"/>
        <w:numPr>
          <w:ilvl w:val="0"/>
          <w:numId w:val="13"/>
        </w:numPr>
        <w:shd w:val="clear" w:color="auto" w:fill="FFFFFF"/>
        <w:spacing w:lineRule="auto" w:line="360" w:before="0" w:after="0"/>
        <w:rPr>
          <w:rFonts w:ascii="Times New Roman" w:hAnsi="Times New Roman" w:cs="Times New Roman"/>
        </w:rPr>
      </w:pPr>
      <w:r>
        <w:rPr>
          <w:rFonts w:cs="Times New Roman" w:ascii="Times New Roman" w:hAnsi="Times New Roman"/>
        </w:rPr>
        <w:t>GOSPODARKA ODPADAMI (sortownie, recykling, selektywna zbiórka)</w:t>
      </w:r>
    </w:p>
    <w:p>
      <w:pPr>
        <w:pStyle w:val="Normal"/>
        <w:numPr>
          <w:ilvl w:val="0"/>
          <w:numId w:val="13"/>
        </w:numPr>
        <w:shd w:val="clear" w:color="auto" w:fill="FFFFFF"/>
        <w:spacing w:lineRule="auto" w:line="360" w:before="0" w:after="0"/>
        <w:rPr>
          <w:rFonts w:ascii="Times New Roman" w:hAnsi="Times New Roman" w:cs="Times New Roman"/>
        </w:rPr>
      </w:pPr>
      <w:r>
        <w:rPr>
          <w:rFonts w:cs="Times New Roman" w:ascii="Times New Roman" w:hAnsi="Times New Roman"/>
        </w:rPr>
        <w:t>MOBILNOŚĆ MIEJSKA (transport miejski, infrastruktura rowerowa, oświetlenie uliczne)</w:t>
      </w:r>
    </w:p>
    <w:p>
      <w:pPr>
        <w:pStyle w:val="NormalWeb"/>
        <w:shd w:val="clear" w:color="auto" w:fill="FFFFFF"/>
        <w:spacing w:lineRule="auto" w:line="360" w:beforeAutospacing="0" w:before="0" w:afterAutospacing="0" w:after="0"/>
        <w:rPr>
          <w:sz w:val="22"/>
          <w:szCs w:val="22"/>
        </w:rPr>
      </w:pPr>
      <w:r>
        <w:rPr>
          <w:sz w:val="22"/>
          <w:szCs w:val="22"/>
        </w:rPr>
        <w:t>Obszary działań przewidziane do realizacji w ramach CP3 Lepiej połączona Europa</w:t>
      </w:r>
    </w:p>
    <w:p>
      <w:pPr>
        <w:pStyle w:val="Normal"/>
        <w:numPr>
          <w:ilvl w:val="0"/>
          <w:numId w:val="14"/>
        </w:numPr>
        <w:shd w:val="clear" w:color="auto" w:fill="FFFFFF"/>
        <w:spacing w:lineRule="auto" w:line="360" w:before="0" w:after="0"/>
        <w:rPr>
          <w:rFonts w:ascii="Times New Roman" w:hAnsi="Times New Roman" w:cs="Times New Roman"/>
        </w:rPr>
      </w:pPr>
      <w:r>
        <w:rPr>
          <w:rFonts w:cs="Times New Roman" w:ascii="Times New Roman" w:hAnsi="Times New Roman"/>
        </w:rPr>
        <w:t>KOLEJOWY TRANSPORT PASAŻERSKI (infrastruktura punktowa, zakup taboru)</w:t>
      </w:r>
    </w:p>
    <w:p>
      <w:pPr>
        <w:pStyle w:val="Normal"/>
        <w:numPr>
          <w:ilvl w:val="0"/>
          <w:numId w:val="14"/>
        </w:numPr>
        <w:shd w:val="clear" w:color="auto" w:fill="FFFFFF"/>
        <w:spacing w:lineRule="auto" w:line="360" w:before="0" w:after="0"/>
        <w:rPr>
          <w:rFonts w:ascii="Times New Roman" w:hAnsi="Times New Roman" w:cs="Times New Roman"/>
        </w:rPr>
      </w:pPr>
      <w:r>
        <w:rPr>
          <w:rFonts w:cs="Times New Roman" w:ascii="Times New Roman" w:hAnsi="Times New Roman"/>
        </w:rPr>
        <w:t>INFRASTRUKTURA DROGOWA(drogi wojewódzkie, obwodnice miast, drogi lokalne poprawiające spójność komunikacyjną regionu oraz ograniczające wykluczeni komunikacyjne)</w:t>
      </w:r>
    </w:p>
    <w:p>
      <w:pPr>
        <w:pStyle w:val="NormalWeb"/>
        <w:shd w:val="clear" w:color="auto" w:fill="FFFFFF"/>
        <w:spacing w:lineRule="auto" w:line="360" w:beforeAutospacing="0" w:before="0" w:afterAutospacing="0" w:after="0"/>
        <w:rPr>
          <w:sz w:val="22"/>
          <w:szCs w:val="22"/>
        </w:rPr>
      </w:pPr>
      <w:r>
        <w:rPr>
          <w:sz w:val="22"/>
          <w:szCs w:val="22"/>
        </w:rPr>
        <w:t>Obszary działań przewidziane do realizacji w ramach CP4 Europa o silniejszym wymiarze społecznym (EFRR)</w:t>
      </w:r>
    </w:p>
    <w:p>
      <w:pPr>
        <w:pStyle w:val="Normal"/>
        <w:numPr>
          <w:ilvl w:val="0"/>
          <w:numId w:val="15"/>
        </w:numPr>
        <w:shd w:val="clear" w:color="auto" w:fill="FFFFFF"/>
        <w:spacing w:lineRule="auto" w:line="360" w:before="0" w:after="0"/>
        <w:rPr>
          <w:rFonts w:ascii="Times New Roman" w:hAnsi="Times New Roman" w:cs="Times New Roman"/>
        </w:rPr>
      </w:pPr>
      <w:r>
        <w:rPr>
          <w:rFonts w:cs="Times New Roman" w:ascii="Times New Roman" w:hAnsi="Times New Roman"/>
        </w:rPr>
        <w:t>WŁĄCZENIE SPOŁECZNE (DDOM-y, Dzienne Domy Pobytu, opieka długoterminowa, wsparcie CIS, KIS, ZAZ, WTZ; infrastruktura na potrzeby realizacji usług społecznych)</w:t>
      </w:r>
    </w:p>
    <w:p>
      <w:pPr>
        <w:pStyle w:val="Normal"/>
        <w:numPr>
          <w:ilvl w:val="0"/>
          <w:numId w:val="15"/>
        </w:numPr>
        <w:shd w:val="clear" w:color="auto" w:fill="FFFFFF"/>
        <w:spacing w:lineRule="auto" w:line="360" w:before="0" w:after="0"/>
        <w:rPr>
          <w:rFonts w:ascii="Times New Roman" w:hAnsi="Times New Roman" w:cs="Times New Roman"/>
        </w:rPr>
      </w:pPr>
      <w:r>
        <w:rPr>
          <w:rFonts w:cs="Times New Roman" w:ascii="Times New Roman" w:hAnsi="Times New Roman"/>
        </w:rPr>
        <w:t>RYNEK PRACY(aktywizacja osób młodych, bezrobotnych, biernych zawodowo i grup defaworyzowanych, wsparcie na rzecz przedsiębiorczości, wsparcie tworzenia i funkcjonowania żłobków; *infrastruktura opieki nad dziećmi do lat 3)</w:t>
      </w:r>
    </w:p>
    <w:p>
      <w:pPr>
        <w:pStyle w:val="Normal"/>
        <w:numPr>
          <w:ilvl w:val="0"/>
          <w:numId w:val="15"/>
        </w:numPr>
        <w:shd w:val="clear" w:color="auto" w:fill="FFFFFF"/>
        <w:spacing w:lineRule="auto" w:line="360" w:before="0" w:after="0"/>
        <w:rPr>
          <w:rFonts w:ascii="Times New Roman" w:hAnsi="Times New Roman" w:cs="Times New Roman"/>
        </w:rPr>
      </w:pPr>
      <w:r>
        <w:rPr>
          <w:rFonts w:cs="Times New Roman" w:ascii="Times New Roman" w:hAnsi="Times New Roman"/>
        </w:rPr>
        <w:t>EDUKACJA(wsparcie na rzecz wychowania przedszkolnego, kształcenia ogólnego i zawodowego; infrastruktura przedszkolna, kształcenia ogólnego i zawodowego)</w:t>
      </w:r>
    </w:p>
    <w:p>
      <w:pPr>
        <w:pStyle w:val="Normal"/>
        <w:numPr>
          <w:ilvl w:val="0"/>
          <w:numId w:val="15"/>
        </w:numPr>
        <w:shd w:val="clear" w:color="auto" w:fill="FFFFFF"/>
        <w:spacing w:lineRule="auto" w:line="360" w:before="0" w:after="0"/>
        <w:rPr>
          <w:rFonts w:ascii="Times New Roman" w:hAnsi="Times New Roman" w:cs="Times New Roman"/>
        </w:rPr>
      </w:pPr>
      <w:r>
        <w:rPr>
          <w:rFonts w:cs="Times New Roman" w:ascii="Times New Roman" w:hAnsi="Times New Roman"/>
        </w:rPr>
        <w:t>ZDROWIE (realizacja regionalnych programów zdrowotnych; infrastruktura szpitali wojewódzkich i powiatowych, DDOM, hospicja, opieka długoterminowa i paliatywna, wyposażenie w sprzęt medyczny)</w:t>
      </w:r>
    </w:p>
    <w:p>
      <w:pPr>
        <w:pStyle w:val="Normal"/>
        <w:numPr>
          <w:ilvl w:val="0"/>
          <w:numId w:val="15"/>
        </w:numPr>
        <w:shd w:val="clear" w:color="auto" w:fill="FFFFFF"/>
        <w:spacing w:lineRule="auto" w:line="360" w:before="0" w:after="0"/>
        <w:rPr>
          <w:rFonts w:ascii="Times New Roman" w:hAnsi="Times New Roman" w:cs="Times New Roman"/>
        </w:rPr>
      </w:pPr>
      <w:r>
        <w:rPr>
          <w:rFonts w:cs="Times New Roman" w:ascii="Times New Roman" w:hAnsi="Times New Roman"/>
        </w:rPr>
        <w:t>INFRASTRUKTURA KULTURY (szeroki katalog instytucji kultury, budowa, rozbudowa oraz rozwój i funkcjonowanie instytucji kultury, projekty dotyczące rozwoju czytelnictwa, organizacja wydarzeń kulturalnych, artystycznych oraz interdyscyplinarnych)</w:t>
      </w:r>
    </w:p>
    <w:p>
      <w:pPr>
        <w:pStyle w:val="NormalWeb"/>
        <w:shd w:val="clear" w:color="auto" w:fill="FFFFFF"/>
        <w:spacing w:lineRule="auto" w:line="360" w:beforeAutospacing="0" w:before="0" w:afterAutospacing="0" w:after="0"/>
        <w:rPr>
          <w:sz w:val="22"/>
          <w:szCs w:val="22"/>
        </w:rPr>
      </w:pPr>
      <w:r>
        <w:rPr>
          <w:sz w:val="22"/>
          <w:szCs w:val="22"/>
        </w:rPr>
        <w:t>Obszary działań przewidziane do realizacji w ramach CP4 Europa o silniejszym wymiarze społecznym (EFRR) poprzez wsparcie:</w:t>
      </w:r>
    </w:p>
    <w:p>
      <w:pPr>
        <w:pStyle w:val="Normal"/>
        <w:numPr>
          <w:ilvl w:val="0"/>
          <w:numId w:val="16"/>
        </w:numPr>
        <w:shd w:val="clear" w:color="auto" w:fill="FFFFFF"/>
        <w:spacing w:lineRule="auto" w:line="360" w:before="0" w:after="0"/>
        <w:rPr>
          <w:rFonts w:ascii="Times New Roman" w:hAnsi="Times New Roman" w:cs="Times New Roman"/>
        </w:rPr>
      </w:pPr>
      <w:r>
        <w:rPr>
          <w:rFonts w:cs="Times New Roman" w:ascii="Times New Roman" w:hAnsi="Times New Roman"/>
        </w:rPr>
        <w:t>Dostępu do zatrudnienia</w:t>
      </w:r>
    </w:p>
    <w:p>
      <w:pPr>
        <w:pStyle w:val="Normal"/>
        <w:numPr>
          <w:ilvl w:val="0"/>
          <w:numId w:val="16"/>
        </w:numPr>
        <w:shd w:val="clear" w:color="auto" w:fill="FFFFFF"/>
        <w:spacing w:lineRule="auto" w:line="360" w:before="0" w:after="0"/>
        <w:rPr>
          <w:rFonts w:ascii="Times New Roman" w:hAnsi="Times New Roman" w:cs="Times New Roman"/>
        </w:rPr>
      </w:pPr>
      <w:r>
        <w:rPr>
          <w:rFonts w:cs="Times New Roman" w:ascii="Times New Roman" w:hAnsi="Times New Roman"/>
        </w:rPr>
        <w:t>Modernizacji instytucji i służb rynków pracy</w:t>
      </w:r>
    </w:p>
    <w:p>
      <w:pPr>
        <w:pStyle w:val="Normal"/>
        <w:numPr>
          <w:ilvl w:val="0"/>
          <w:numId w:val="16"/>
        </w:numPr>
        <w:shd w:val="clear" w:color="auto" w:fill="FFFFFF"/>
        <w:spacing w:lineRule="auto" w:line="360" w:before="0" w:after="0"/>
        <w:rPr>
          <w:rFonts w:ascii="Times New Roman" w:hAnsi="Times New Roman" w:cs="Times New Roman"/>
        </w:rPr>
      </w:pPr>
      <w:r>
        <w:rPr>
          <w:rFonts w:cs="Times New Roman" w:ascii="Times New Roman" w:hAnsi="Times New Roman"/>
        </w:rPr>
        <w:t>Kobiet na rynku pracy</w:t>
      </w:r>
    </w:p>
    <w:p>
      <w:pPr>
        <w:pStyle w:val="Normal"/>
        <w:numPr>
          <w:ilvl w:val="0"/>
          <w:numId w:val="16"/>
        </w:numPr>
        <w:shd w:val="clear" w:color="auto" w:fill="FFFFFF"/>
        <w:spacing w:lineRule="auto" w:line="360" w:before="0" w:after="0"/>
        <w:rPr>
          <w:rFonts w:ascii="Times New Roman" w:hAnsi="Times New Roman" w:cs="Times New Roman"/>
        </w:rPr>
      </w:pPr>
      <w:r>
        <w:rPr>
          <w:rFonts w:cs="Times New Roman" w:ascii="Times New Roman" w:hAnsi="Times New Roman"/>
        </w:rPr>
        <w:t>Systemów kształcenia, szkół</w:t>
      </w:r>
    </w:p>
    <w:p>
      <w:pPr>
        <w:pStyle w:val="Normal"/>
        <w:numPr>
          <w:ilvl w:val="0"/>
          <w:numId w:val="16"/>
        </w:numPr>
        <w:shd w:val="clear" w:color="auto" w:fill="FFFFFF"/>
        <w:spacing w:lineRule="auto" w:line="360" w:before="0" w:after="0"/>
        <w:rPr>
          <w:rFonts w:ascii="Times New Roman" w:hAnsi="Times New Roman" w:cs="Times New Roman"/>
        </w:rPr>
      </w:pPr>
      <w:r>
        <w:rPr>
          <w:rFonts w:cs="Times New Roman" w:ascii="Times New Roman" w:hAnsi="Times New Roman"/>
        </w:rPr>
        <w:t>Kształcenia się i szkoleń</w:t>
      </w:r>
    </w:p>
    <w:p>
      <w:pPr>
        <w:pStyle w:val="Normal"/>
        <w:numPr>
          <w:ilvl w:val="0"/>
          <w:numId w:val="16"/>
        </w:numPr>
        <w:shd w:val="clear" w:color="auto" w:fill="FFFFFF"/>
        <w:spacing w:lineRule="auto" w:line="360" w:before="0" w:after="0"/>
        <w:rPr>
          <w:rFonts w:ascii="Times New Roman" w:hAnsi="Times New Roman" w:cs="Times New Roman"/>
        </w:rPr>
      </w:pPr>
      <w:r>
        <w:rPr>
          <w:rFonts w:cs="Times New Roman" w:ascii="Times New Roman" w:hAnsi="Times New Roman"/>
        </w:rPr>
        <w:t>Uczenia się przez całe życie</w:t>
      </w:r>
    </w:p>
    <w:p>
      <w:pPr>
        <w:pStyle w:val="Normal"/>
        <w:numPr>
          <w:ilvl w:val="0"/>
          <w:numId w:val="16"/>
        </w:numPr>
        <w:shd w:val="clear" w:color="auto" w:fill="FFFFFF"/>
        <w:spacing w:lineRule="auto" w:line="360" w:before="0" w:after="0"/>
        <w:rPr>
          <w:rFonts w:ascii="Times New Roman" w:hAnsi="Times New Roman" w:cs="Times New Roman"/>
        </w:rPr>
      </w:pPr>
      <w:r>
        <w:rPr>
          <w:rFonts w:cs="Times New Roman" w:ascii="Times New Roman" w:hAnsi="Times New Roman"/>
        </w:rPr>
        <w:t>Włączenie społeczne</w:t>
      </w:r>
    </w:p>
    <w:p>
      <w:pPr>
        <w:pStyle w:val="Normal"/>
        <w:numPr>
          <w:ilvl w:val="0"/>
          <w:numId w:val="16"/>
        </w:numPr>
        <w:shd w:val="clear" w:color="auto" w:fill="FFFFFF"/>
        <w:spacing w:lineRule="auto" w:line="360" w:before="0" w:after="0"/>
        <w:rPr>
          <w:rFonts w:ascii="Times New Roman" w:hAnsi="Times New Roman" w:cs="Times New Roman"/>
        </w:rPr>
      </w:pPr>
      <w:r>
        <w:rPr>
          <w:rFonts w:cs="Times New Roman" w:ascii="Times New Roman" w:hAnsi="Times New Roman"/>
        </w:rPr>
        <w:t>Integracji obywateli państw trzecich</w:t>
      </w:r>
    </w:p>
    <w:p>
      <w:pPr>
        <w:pStyle w:val="Normal"/>
        <w:numPr>
          <w:ilvl w:val="0"/>
          <w:numId w:val="16"/>
        </w:numPr>
        <w:shd w:val="clear" w:color="auto" w:fill="FFFFFF"/>
        <w:spacing w:lineRule="auto" w:line="360" w:before="0" w:after="0"/>
        <w:rPr>
          <w:rFonts w:ascii="Times New Roman" w:hAnsi="Times New Roman" w:cs="Times New Roman"/>
        </w:rPr>
      </w:pPr>
      <w:r>
        <w:rPr>
          <w:rFonts w:cs="Times New Roman" w:ascii="Times New Roman" w:hAnsi="Times New Roman"/>
        </w:rPr>
        <w:t>Dostęp do usług społecznych</w:t>
      </w:r>
    </w:p>
    <w:p>
      <w:pPr>
        <w:pStyle w:val="NormalWeb"/>
        <w:shd w:val="clear" w:color="auto" w:fill="FFFFFF"/>
        <w:spacing w:lineRule="auto" w:line="360" w:beforeAutospacing="0" w:before="0" w:afterAutospacing="0" w:after="0"/>
        <w:rPr>
          <w:sz w:val="22"/>
          <w:szCs w:val="22"/>
        </w:rPr>
      </w:pPr>
      <w:r>
        <w:rPr>
          <w:sz w:val="22"/>
          <w:szCs w:val="22"/>
        </w:rPr>
        <w:t>Obszary działań przewidziane do realizacji w ramach CP5 Europa bliżej obywateli</w:t>
      </w:r>
    </w:p>
    <w:p>
      <w:pPr>
        <w:pStyle w:val="Normal"/>
        <w:numPr>
          <w:ilvl w:val="0"/>
          <w:numId w:val="17"/>
        </w:numPr>
        <w:shd w:val="clear" w:color="auto" w:fill="FFFFFF"/>
        <w:spacing w:lineRule="auto" w:line="360" w:before="0" w:after="0"/>
        <w:rPr>
          <w:rFonts w:ascii="Times New Roman" w:hAnsi="Times New Roman" w:cs="Times New Roman"/>
        </w:rPr>
      </w:pPr>
      <w:r>
        <w:rPr>
          <w:rFonts w:cs="Times New Roman" w:ascii="Times New Roman" w:hAnsi="Times New Roman"/>
        </w:rPr>
        <w:t>REWITALIZACJA (adaptacja i wyposażenie istniejących zdegradowanych budynków, zagospodarowanie terenów i przestrzeni, budowa, rozbudowa i przebudowa podstawowej infrastruktury komunalnej, inwestycje dotyczące systemów poprawy bezpieczeństwa</w:t>
      </w:r>
    </w:p>
    <w:p>
      <w:pPr>
        <w:pStyle w:val="Normal"/>
        <w:numPr>
          <w:ilvl w:val="0"/>
          <w:numId w:val="17"/>
        </w:numPr>
        <w:shd w:val="clear" w:color="auto" w:fill="FFFFFF"/>
        <w:spacing w:lineRule="auto" w:line="360" w:before="0" w:after="0"/>
        <w:rPr>
          <w:rFonts w:ascii="Times New Roman" w:hAnsi="Times New Roman" w:cs="Times New Roman"/>
        </w:rPr>
      </w:pPr>
      <w:r>
        <w:rPr>
          <w:rFonts w:cs="Times New Roman" w:ascii="Times New Roman" w:hAnsi="Times New Roman"/>
        </w:rPr>
        <w:t>DZIEDZICTWO KULTUROWE I NATURALNE (konserwacja zabytków ruchomych, prace restauratorskie i konserwatorskie budynków zabytkowych, odbudowa, budowa, rozbudowa obiektów dziedzictwa naturalnego)</w:t>
      </w:r>
    </w:p>
    <w:p>
      <w:pPr>
        <w:pStyle w:val="Normal"/>
        <w:numPr>
          <w:ilvl w:val="0"/>
          <w:numId w:val="17"/>
        </w:numPr>
        <w:shd w:val="clear" w:color="auto" w:fill="FFFFFF"/>
        <w:spacing w:lineRule="auto" w:line="360" w:before="0" w:after="0"/>
        <w:rPr>
          <w:rFonts w:ascii="Times New Roman" w:hAnsi="Times New Roman" w:cs="Times New Roman"/>
        </w:rPr>
      </w:pPr>
      <w:r>
        <w:rPr>
          <w:rFonts w:cs="Times New Roman" w:ascii="Times New Roman" w:hAnsi="Times New Roman"/>
        </w:rPr>
        <w:t>WSPARCIE ROZWOJU TURYSTYKI (infrastruktura turystyczna i rekreacyjna, tworzenie parków kulturowych, trasy i szlaki turystyczne (piesze, rowerowe, wodne), tworzenie i marketing lokalnych marek i produktów turystycznych)</w:t>
      </w:r>
      <w:r>
        <w:rPr>
          <w:rStyle w:val="Zakotwiczenieprzypisudolnego"/>
          <w:rFonts w:cs="Times New Roman" w:ascii="Times New Roman" w:hAnsi="Times New Roman"/>
        </w:rPr>
        <w:footnoteReference w:id="3"/>
      </w:r>
    </w:p>
    <w:p>
      <w:pPr>
        <w:pStyle w:val="Nagwek2"/>
        <w:spacing w:lineRule="auto" w:line="360" w:before="0" w:after="0"/>
        <w:rPr>
          <w:rFonts w:ascii="Times New Roman" w:hAnsi="Times New Roman" w:cs="Times New Roman"/>
          <w:sz w:val="22"/>
          <w:szCs w:val="22"/>
        </w:rPr>
      </w:pPr>
      <w:bookmarkStart w:id="46" w:name="_Toc85228983"/>
      <w:r>
        <w:rPr>
          <w:rFonts w:cs="Times New Roman" w:ascii="Times New Roman" w:hAnsi="Times New Roman"/>
          <w:sz w:val="22"/>
          <w:szCs w:val="22"/>
        </w:rPr>
        <w:t>5.3. Monitorowanie wdrażania LPRG</w:t>
      </w:r>
      <w:bookmarkEnd w:id="46"/>
      <w:r>
        <w:rPr>
          <w:rFonts w:cs="Times New Roman" w:ascii="Times New Roman" w:hAnsi="Times New Roman"/>
          <w:sz w:val="22"/>
          <w:szCs w:val="22"/>
        </w:rPr>
        <w:t xml:space="preserve"> </w:t>
      </w:r>
    </w:p>
    <w:p>
      <w:pPr>
        <w:pStyle w:val="Normal"/>
        <w:spacing w:lineRule="auto" w:line="360" w:before="0" w:after="0"/>
        <w:rPr>
          <w:rFonts w:ascii="Times New Roman" w:hAnsi="Times New Roman" w:cs="Times New Roman"/>
        </w:rPr>
      </w:pPr>
      <w:r>
        <w:rPr>
          <w:rFonts w:cs="Times New Roman" w:ascii="Times New Roman" w:hAnsi="Times New Roman"/>
        </w:rPr>
      </w:r>
    </w:p>
    <w:p>
      <w:pPr>
        <w:pStyle w:val="Normal"/>
        <w:spacing w:lineRule="auto" w:line="360" w:before="0" w:after="0"/>
        <w:ind w:firstLine="708"/>
        <w:contextualSpacing/>
        <w:jc w:val="both"/>
        <w:rPr>
          <w:rFonts w:ascii="Times New Roman" w:hAnsi="Times New Roman" w:cs="Times New Roman"/>
        </w:rPr>
      </w:pPr>
      <w:r>
        <w:rPr>
          <w:rFonts w:cs="Times New Roman" w:ascii="Times New Roman" w:hAnsi="Times New Roman"/>
        </w:rPr>
        <w:t xml:space="preserve">Ustawa z dnia 6 grudnia 2006 r. o zasadach prowadzenia polityki rozwoju (Dz.U. 2006 Nr 227 poz. 1658) w art. 17 określa zawartość programów rozwoju. Zgodnie z ustawowymi zapisami, program określa w szczególności: </w:t>
      </w:r>
    </w:p>
    <w:p>
      <w:pPr>
        <w:pStyle w:val="ListParagraph"/>
        <w:numPr>
          <w:ilvl w:val="0"/>
          <w:numId w:val="18"/>
        </w:numPr>
        <w:spacing w:lineRule="auto" w:line="360"/>
        <w:jc w:val="both"/>
        <w:rPr>
          <w:sz w:val="22"/>
          <w:szCs w:val="22"/>
        </w:rPr>
      </w:pPr>
      <w:r>
        <w:rPr>
          <w:sz w:val="22"/>
          <w:szCs w:val="22"/>
        </w:rPr>
        <w:t>diagnozę sytuacji społeczno-gospodarczej w odniesieniu do zakresu objętego programowaniem strategicznym,</w:t>
      </w:r>
    </w:p>
    <w:p>
      <w:pPr>
        <w:pStyle w:val="ListParagraph"/>
        <w:numPr>
          <w:ilvl w:val="0"/>
          <w:numId w:val="18"/>
        </w:numPr>
        <w:spacing w:lineRule="auto" w:line="360"/>
        <w:jc w:val="both"/>
        <w:rPr>
          <w:sz w:val="22"/>
          <w:szCs w:val="22"/>
        </w:rPr>
      </w:pPr>
      <w:r>
        <w:rPr>
          <w:sz w:val="22"/>
          <w:szCs w:val="22"/>
        </w:rPr>
        <w:t xml:space="preserve">cel główny i cele szczegółowe w nawiązaniu do średniookresowej strategii rozwoju kraju, narodowej strategii spójności lub strategii rozwoju, o których mowa w art. 9 pkt 3, wraz z określonymi wskaźnikami; </w:t>
      </w:r>
    </w:p>
    <w:p>
      <w:pPr>
        <w:pStyle w:val="ListParagraph"/>
        <w:numPr>
          <w:ilvl w:val="0"/>
          <w:numId w:val="18"/>
        </w:numPr>
        <w:spacing w:lineRule="auto" w:line="360"/>
        <w:jc w:val="both"/>
        <w:rPr>
          <w:sz w:val="22"/>
          <w:szCs w:val="22"/>
        </w:rPr>
      </w:pPr>
      <w:r>
        <w:rPr>
          <w:sz w:val="22"/>
          <w:szCs w:val="22"/>
        </w:rPr>
        <w:t>priorytety oraz kierunki interwencji w zakresie terytorialnym, w tym w ujęciu wojewódzkim;</w:t>
      </w:r>
    </w:p>
    <w:p>
      <w:pPr>
        <w:pStyle w:val="ListParagraph"/>
        <w:numPr>
          <w:ilvl w:val="0"/>
          <w:numId w:val="18"/>
        </w:numPr>
        <w:spacing w:lineRule="auto" w:line="360"/>
        <w:jc w:val="both"/>
        <w:rPr>
          <w:bCs/>
          <w:sz w:val="22"/>
          <w:szCs w:val="22"/>
        </w:rPr>
      </w:pPr>
      <w:r>
        <w:rPr>
          <w:bCs/>
          <w:sz w:val="22"/>
          <w:szCs w:val="22"/>
        </w:rPr>
        <w:t xml:space="preserve">sposób monitorowania i oceny stopnia osiągania celu głównego i celów szczegółowych; </w:t>
      </w:r>
    </w:p>
    <w:p>
      <w:pPr>
        <w:pStyle w:val="ListParagraph"/>
        <w:numPr>
          <w:ilvl w:val="0"/>
          <w:numId w:val="18"/>
        </w:numPr>
        <w:spacing w:lineRule="auto" w:line="360"/>
        <w:jc w:val="both"/>
        <w:rPr>
          <w:sz w:val="22"/>
          <w:szCs w:val="22"/>
        </w:rPr>
      </w:pPr>
      <w:r>
        <w:rPr>
          <w:sz w:val="22"/>
          <w:szCs w:val="22"/>
        </w:rPr>
        <w:t xml:space="preserve">plan finansowy, w tym: a) źródła finansowania realizacji programu, b) kwotę środków przeznaczonych na finansowanie realizacji programu i jej podział między poszczególne priorytety, c) informację o wysokości współfinansowania na poziomie programu i priorytetów; </w:t>
      </w:r>
    </w:p>
    <w:p>
      <w:pPr>
        <w:pStyle w:val="ListParagraph"/>
        <w:numPr>
          <w:ilvl w:val="0"/>
          <w:numId w:val="18"/>
        </w:numPr>
        <w:spacing w:lineRule="auto" w:line="360"/>
        <w:jc w:val="both"/>
        <w:rPr>
          <w:sz w:val="22"/>
          <w:szCs w:val="22"/>
        </w:rPr>
      </w:pPr>
      <w:r>
        <w:rPr>
          <w:sz w:val="22"/>
          <w:szCs w:val="22"/>
        </w:rPr>
        <w:t>podstawowe założenia systemu realizacji.</w:t>
      </w:r>
    </w:p>
    <w:p>
      <w:pPr>
        <w:pStyle w:val="Normal"/>
        <w:spacing w:lineRule="auto" w:line="360" w:before="0" w:after="0"/>
        <w:contextualSpacing/>
        <w:jc w:val="both"/>
        <w:rPr>
          <w:rFonts w:ascii="Times New Roman" w:hAnsi="Times New Roman" w:cs="Times New Roman"/>
        </w:rPr>
      </w:pPr>
      <w:r>
        <w:rPr>
          <w:rFonts w:cs="Times New Roman" w:ascii="Times New Roman" w:hAnsi="Times New Roman"/>
        </w:rPr>
      </w:r>
    </w:p>
    <w:p>
      <w:pPr>
        <w:pStyle w:val="Normal"/>
        <w:spacing w:lineRule="auto" w:line="360" w:before="0" w:after="0"/>
        <w:ind w:firstLine="708"/>
        <w:contextualSpacing/>
        <w:jc w:val="both"/>
        <w:rPr>
          <w:rFonts w:ascii="Times New Roman" w:hAnsi="Times New Roman" w:cs="Times New Roman"/>
        </w:rPr>
      </w:pPr>
      <w:r>
        <w:rPr>
          <w:rFonts w:cs="Times New Roman" w:ascii="Times New Roman" w:hAnsi="Times New Roman"/>
        </w:rPr>
        <w:t>Monitoring prowadzi się w celu zapewnienia ciągłości, prawidłowości i efektywności realizacji LPRG, co w konsekwencji – pozwala wykryć zagrożenia i ewentualną konieczność modyfikacji planowanych działań lub podmiotów odpowiedzialnych/ współpracujących przy realizacji LPRG.</w:t>
      </w:r>
    </w:p>
    <w:p>
      <w:pPr>
        <w:pStyle w:val="Normal"/>
        <w:spacing w:lineRule="auto" w:line="360" w:before="0" w:after="0"/>
        <w:jc w:val="both"/>
        <w:rPr>
          <w:rFonts w:ascii="Times New Roman" w:hAnsi="Times New Roman" w:cs="Times New Roman"/>
        </w:rPr>
      </w:pPr>
      <w:r>
        <w:rPr>
          <w:rFonts w:cs="Times New Roman" w:ascii="Times New Roman" w:hAnsi="Times New Roman"/>
        </w:rPr>
      </w:r>
    </w:p>
    <w:p>
      <w:pPr>
        <w:pStyle w:val="Normal"/>
        <w:spacing w:lineRule="auto" w:line="360" w:before="0" w:after="0"/>
        <w:jc w:val="both"/>
        <w:rPr>
          <w:rFonts w:ascii="Times New Roman" w:hAnsi="Times New Roman" w:cs="Times New Roman"/>
        </w:rPr>
      </w:pPr>
      <w:r>
        <w:rPr>
          <w:rFonts w:cs="Times New Roman" w:ascii="Times New Roman" w:hAnsi="Times New Roman"/>
        </w:rPr>
        <w:t xml:space="preserve">Podmiotem odpowiedzialnym za koordynację procesów (organ, stanowisko, zespół lub komórka w ramach urzędu gminy) w ramach LPRG jest Wójt Gminy.  Sprawozdawczość  na potrzeby monitoringu i ewaluacji prowadzona jest na początku, w połowie i na koniec wdrażania LPRG. Mechanizmy umożliwiające wprowadzanie zmian wynikających z prowadzonej oceny realizacji instrumentów i działań (aktualizacja LPRG) to min. możliwość modyfikowania inicjatyw służących realizacji celów LPRG. </w:t>
      </w:r>
    </w:p>
    <w:p>
      <w:pPr>
        <w:pStyle w:val="Normal"/>
        <w:spacing w:lineRule="auto" w:line="360" w:before="0" w:after="0"/>
        <w:contextualSpacing/>
        <w:jc w:val="both"/>
        <w:rPr>
          <w:rFonts w:ascii="Times New Roman" w:hAnsi="Times New Roman" w:cs="Times New Roman"/>
        </w:rPr>
      </w:pPr>
      <w:r>
        <w:rPr>
          <w:rFonts w:cs="Times New Roman" w:ascii="Times New Roman" w:hAnsi="Times New Roman"/>
        </w:rPr>
      </w:r>
    </w:p>
    <w:p>
      <w:pPr>
        <w:pStyle w:val="Normal"/>
        <w:spacing w:lineRule="auto" w:line="360" w:before="0" w:after="0"/>
        <w:contextualSpacing/>
        <w:jc w:val="both"/>
        <w:rPr>
          <w:rFonts w:ascii="Times New Roman" w:hAnsi="Times New Roman" w:cs="Times New Roman"/>
          <w:i/>
          <w:i/>
          <w:iCs/>
        </w:rPr>
      </w:pPr>
      <w:r>
        <w:rPr>
          <w:rFonts w:cs="Times New Roman" w:ascii="Times New Roman" w:hAnsi="Times New Roman"/>
          <w:i/>
          <w:iCs/>
        </w:rPr>
        <w:t>Istota systemu monitorowania i ewaluacji</w:t>
      </w:r>
    </w:p>
    <w:p>
      <w:pPr>
        <w:pStyle w:val="Normal"/>
        <w:spacing w:lineRule="auto" w:line="360" w:before="0" w:after="0"/>
        <w:ind w:firstLine="708"/>
        <w:contextualSpacing/>
        <w:jc w:val="both"/>
        <w:rPr>
          <w:rFonts w:ascii="Times New Roman" w:hAnsi="Times New Roman" w:cs="Times New Roman"/>
        </w:rPr>
      </w:pPr>
      <w:r>
        <w:rPr>
          <w:rFonts w:cs="Times New Roman" w:ascii="Times New Roman" w:hAnsi="Times New Roman"/>
        </w:rPr>
        <w:t>Ewaluacja ma na celu podnoszenie jakości działań poprzez zwiększenie ich adekwatności, skuteczności, użyteczności, efektywności i trwałości. Rekomenduje się, aby przy ewaluacji wykorzystać m.in. formę warsztatu z udziałem władz samorządowych oraz najważniejszych interesariuszy lokalnych.</w:t>
      </w:r>
    </w:p>
    <w:p>
      <w:pPr>
        <w:pStyle w:val="Normal"/>
        <w:spacing w:lineRule="auto" w:line="360" w:before="0" w:after="0"/>
        <w:ind w:firstLine="708"/>
        <w:contextualSpacing/>
        <w:jc w:val="both"/>
        <w:rPr>
          <w:rFonts w:ascii="Times New Roman" w:hAnsi="Times New Roman" w:cs="Times New Roman"/>
        </w:rPr>
      </w:pPr>
      <w:r>
        <w:rPr>
          <w:rFonts w:cs="Times New Roman" w:ascii="Times New Roman" w:hAnsi="Times New Roman"/>
        </w:rPr>
        <w:t>Głównymi obszarami monitorowania i ewaluacji LPRG jest cel główny i cele szczegółowe wytyczone w LPRG. Proces monitorowania ma polegać na systematycznych obserwacjach zmian zachodzących w ramach poszczególnych celów i zadań wyznaczonych w LPRG. Proponuje się zaproponowanie formuły systemu monitorowania i ewaluacji opartego na monitorowaniu operacyjnym i strategicznym</w:t>
      </w:r>
    </w:p>
    <w:p>
      <w:pPr>
        <w:pStyle w:val="Normal"/>
        <w:spacing w:lineRule="auto" w:line="360" w:before="0" w:after="0"/>
        <w:ind w:firstLine="708"/>
        <w:contextualSpacing/>
        <w:jc w:val="both"/>
        <w:rPr>
          <w:rFonts w:ascii="Times New Roman" w:hAnsi="Times New Roman" w:cs="Times New Roman"/>
        </w:rPr>
      </w:pPr>
      <w:r>
        <w:rPr>
          <w:rFonts w:cs="Times New Roman" w:ascii="Times New Roman" w:hAnsi="Times New Roman"/>
        </w:rPr>
      </w:r>
    </w:p>
    <w:p>
      <w:pPr>
        <w:pStyle w:val="Normal"/>
        <w:spacing w:lineRule="auto" w:line="360" w:before="0" w:after="0"/>
        <w:contextualSpacing/>
        <w:jc w:val="both"/>
        <w:rPr>
          <w:rFonts w:ascii="Times New Roman" w:hAnsi="Times New Roman" w:cs="Times New Roman"/>
          <w:i/>
          <w:i/>
          <w:iCs/>
        </w:rPr>
      </w:pPr>
      <w:r>
        <w:rPr>
          <w:rFonts w:cs="Times New Roman" w:ascii="Times New Roman" w:hAnsi="Times New Roman"/>
          <w:i/>
          <w:iCs/>
        </w:rPr>
        <w:t>Monitoring operacyjny</w:t>
      </w:r>
    </w:p>
    <w:p>
      <w:pPr>
        <w:pStyle w:val="Normal"/>
        <w:spacing w:lineRule="auto" w:line="360" w:before="0" w:after="0"/>
        <w:ind w:firstLine="708"/>
        <w:contextualSpacing/>
        <w:jc w:val="both"/>
        <w:rPr>
          <w:rFonts w:ascii="Times New Roman" w:hAnsi="Times New Roman" w:cs="Times New Roman"/>
        </w:rPr>
      </w:pPr>
      <w:r>
        <w:rPr>
          <w:rFonts w:cs="Times New Roman" w:ascii="Times New Roman" w:hAnsi="Times New Roman"/>
        </w:rPr>
        <w:t>Na poziomie operacyjnym monitoring stanu wdrażania LPRG przeprowadzany będzie na podstawie dwuletnich raportów opisujących działania podejmowane w zakresie realizacji zadań strategicznych. Raporty te przygotowywane będą przez Referaty merytoryczne Urzędu Gminy odpowiedzialne za prowadzenie działań w ramach wyznaczonych zadań strategicznych. Monitoring na poziomie operacyjnym może stać się podstawą dokonania aktualizacji LPRG, jeśli na podstawie przedstawionych informacji uwidoczni się taka potrzeba.</w:t>
      </w:r>
    </w:p>
    <w:p>
      <w:pPr>
        <w:pStyle w:val="Normal"/>
        <w:spacing w:lineRule="auto" w:line="360" w:before="0" w:after="0"/>
        <w:ind w:firstLine="708"/>
        <w:contextualSpacing/>
        <w:jc w:val="both"/>
        <w:rPr>
          <w:rFonts w:ascii="Times New Roman" w:hAnsi="Times New Roman" w:cs="Times New Roman"/>
        </w:rPr>
      </w:pPr>
      <w:r>
        <w:rPr>
          <w:rFonts w:cs="Times New Roman" w:ascii="Times New Roman" w:hAnsi="Times New Roman"/>
        </w:rPr>
        <w:t>Celem monitoringu operacyjnego będzie określenie stopnia realizacji zadań zapisanych w LPRG. Monitoring taki winien być prowadzony częściej niż monitoring strategiczny. Monitoring taki nie powinien być dokonywany rzadziej niż raz na 2 lata.</w:t>
      </w:r>
    </w:p>
    <w:p>
      <w:pPr>
        <w:pStyle w:val="Normal"/>
        <w:spacing w:lineRule="auto" w:line="360" w:before="0" w:after="0"/>
        <w:ind w:firstLine="708"/>
        <w:contextualSpacing/>
        <w:jc w:val="both"/>
        <w:rPr>
          <w:rFonts w:ascii="Times New Roman" w:hAnsi="Times New Roman" w:cs="Times New Roman"/>
        </w:rPr>
      </w:pPr>
      <w:r>
        <w:rPr>
          <w:rFonts w:cs="Times New Roman" w:ascii="Times New Roman" w:hAnsi="Times New Roman"/>
        </w:rPr>
        <w:t>Najlepszym momentem przystąpienia do analizowania stanu wdrażania LPRG są ostatnie miesiące roku kalendarzowego. Monitoring operacyjny nie prowadzi wprost do aktualizacji zapisów LPRG. Jeżeli jednak w toku dokonywania tego monitoringu wskazana zostanie potrzeba uzupełnienia lub zmiany dokumentu, która będzie istotna z punktu widzenia osiągania wizji gminy, Wójt/Burmistrz/Prezydent, posługując się opinią podmiotu odpowiedzialnego za koordynację procesów, winien zwrócić się do Rady Gminy/Miasta z projektem uchwały o dokonanie aktualizacji LPRG. Należy wówczas zastosować się do trybu prac przewidzianego dla etapu aktualizowania strategii w ramach monitoringu strategicznego.</w:t>
      </w:r>
    </w:p>
    <w:p>
      <w:pPr>
        <w:pStyle w:val="Normal"/>
        <w:spacing w:lineRule="auto" w:line="360" w:before="0" w:after="0"/>
        <w:contextualSpacing/>
        <w:jc w:val="both"/>
        <w:rPr>
          <w:rFonts w:ascii="Times New Roman" w:hAnsi="Times New Roman" w:cs="Times New Roman"/>
        </w:rPr>
      </w:pPr>
      <w:r>
        <w:rPr>
          <w:rFonts w:cs="Times New Roman" w:ascii="Times New Roman" w:hAnsi="Times New Roman"/>
        </w:rPr>
      </w:r>
    </w:p>
    <w:p>
      <w:pPr>
        <w:pStyle w:val="Normal"/>
        <w:spacing w:lineRule="auto" w:line="360" w:before="0" w:after="0"/>
        <w:contextualSpacing/>
        <w:jc w:val="both"/>
        <w:rPr>
          <w:rFonts w:ascii="Times New Roman" w:hAnsi="Times New Roman" w:cs="Times New Roman"/>
          <w:i/>
          <w:i/>
          <w:iCs/>
        </w:rPr>
      </w:pPr>
      <w:r>
        <w:rPr>
          <w:rFonts w:cs="Times New Roman" w:ascii="Times New Roman" w:hAnsi="Times New Roman"/>
          <w:i/>
          <w:iCs/>
        </w:rPr>
        <w:t>Monitoring strategiczny</w:t>
      </w:r>
    </w:p>
    <w:p>
      <w:pPr>
        <w:pStyle w:val="Normal"/>
        <w:spacing w:lineRule="auto" w:line="360" w:before="0" w:after="0"/>
        <w:ind w:firstLine="708"/>
        <w:contextualSpacing/>
        <w:jc w:val="both"/>
        <w:rPr>
          <w:rFonts w:ascii="Times New Roman" w:hAnsi="Times New Roman" w:cs="Times New Roman"/>
        </w:rPr>
      </w:pPr>
      <w:r>
        <w:rPr>
          <w:rFonts w:cs="Times New Roman" w:ascii="Times New Roman" w:hAnsi="Times New Roman"/>
        </w:rPr>
        <w:t>W przeciwieństwie do monitoringu operacyjnego, zadaniem monitoringu strategicznego jest umożliwienie oceny realizacji LPRG z punktu widzenia jej dopasowania do rzeczywistych potrzeb gminy oraz stopnia wypełniania przez nią celów strategicznych.</w:t>
      </w:r>
    </w:p>
    <w:p>
      <w:pPr>
        <w:pStyle w:val="Normal"/>
        <w:spacing w:lineRule="auto" w:line="360" w:before="0" w:after="0"/>
        <w:ind w:firstLine="708"/>
        <w:contextualSpacing/>
        <w:jc w:val="both"/>
        <w:rPr>
          <w:rFonts w:ascii="Times New Roman" w:hAnsi="Times New Roman" w:cs="Times New Roman"/>
        </w:rPr>
      </w:pPr>
      <w:r>
        <w:rPr>
          <w:rFonts w:cs="Times New Roman" w:ascii="Times New Roman" w:hAnsi="Times New Roman"/>
        </w:rPr>
        <w:t>Jako perspektywę czasową do przeprowadzenia takiego monitoringu wskazać należy okres czteroletni. Uznać również należy, że w latach gdy monitoring taki jest przeprowadzany, zastępuje on monitoring operacyjny. Monitoring strategiczny może stać się podstawą aktualizacji LPRG. Uznać bowiem należy, że w okresie kilkuletnim pojawią się na tyle istotne zmiany w sytuacji lokalnej społeczności, że przydatnym będzie dokonanie zmian w zapisach dokumentu</w:t>
      </w:r>
    </w:p>
    <w:p>
      <w:pPr>
        <w:pStyle w:val="ListParagraph"/>
        <w:spacing w:lineRule="auto" w:line="360"/>
        <w:rPr>
          <w:sz w:val="22"/>
          <w:szCs w:val="22"/>
        </w:rPr>
      </w:pPr>
      <w:r>
        <w:rPr>
          <w:sz w:val="22"/>
          <w:szCs w:val="22"/>
        </w:rPr>
      </w:r>
    </w:p>
    <w:p>
      <w:pPr>
        <w:pStyle w:val="Nagwek1"/>
        <w:rPr>
          <w:rFonts w:ascii="Times New Roman" w:hAnsi="Times New Roman" w:cs="Times New Roman"/>
        </w:rPr>
      </w:pPr>
      <w:bookmarkStart w:id="47" w:name="_Toc85228984"/>
      <w:bookmarkStart w:id="48" w:name="_Toc83724531"/>
      <w:r>
        <w:rPr>
          <w:rFonts w:cs="Times New Roman" w:ascii="Times New Roman" w:hAnsi="Times New Roman"/>
        </w:rPr>
        <w:t>Załącznik 1. Lista przykładowych inicjatyw planowanych do realizacji w ramach LPRG</w:t>
      </w:r>
      <w:bookmarkEnd w:id="47"/>
      <w:bookmarkEnd w:id="48"/>
      <w:r>
        <w:rPr>
          <w:rFonts w:cs="Times New Roman" w:ascii="Times New Roman" w:hAnsi="Times New Roman"/>
        </w:rPr>
        <w:t xml:space="preserve"> </w:t>
      </w:r>
    </w:p>
    <w:p>
      <w:pPr>
        <w:pStyle w:val="Nagwek2"/>
        <w:rPr>
          <w:rFonts w:ascii="Times New Roman" w:hAnsi="Times New Roman" w:cs="Times New Roman"/>
          <w:bCs/>
          <w:sz w:val="24"/>
          <w:szCs w:val="24"/>
        </w:rPr>
      </w:pPr>
      <w:bookmarkStart w:id="49" w:name="_Toc85228985"/>
      <w:r>
        <w:rPr>
          <w:rFonts w:cs="Times New Roman" w:ascii="Times New Roman" w:hAnsi="Times New Roman"/>
          <w:bCs/>
          <w:sz w:val="24"/>
          <w:szCs w:val="24"/>
        </w:rPr>
        <w:t xml:space="preserve">Projekt 1. </w:t>
      </w:r>
      <w:r>
        <w:rPr>
          <w:rFonts w:cs="Times New Roman" w:ascii="Times New Roman" w:hAnsi="Times New Roman"/>
          <w:sz w:val="24"/>
          <w:szCs w:val="24"/>
        </w:rPr>
        <w:t>Przeciwdziałanie wykluczeniu społecznemu – aktywizacja zawodowa</w:t>
      </w:r>
      <w:bookmarkEnd w:id="49"/>
    </w:p>
    <w:tbl>
      <w:tblPr>
        <w:tblW w:w="9039"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830"/>
        <w:gridCol w:w="6208"/>
      </w:tblGrid>
      <w:tr>
        <w:trPr/>
        <w:tc>
          <w:tcPr>
            <w:tcW w:w="28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Tytuł / Nazwa projektu</w:t>
            </w:r>
          </w:p>
        </w:tc>
        <w:tc>
          <w:tcPr>
            <w:tcW w:w="62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b/>
                <w:b/>
              </w:rPr>
            </w:pPr>
            <w:r>
              <w:rPr>
                <w:rFonts w:cs="Times New Roman" w:ascii="Times New Roman" w:hAnsi="Times New Roman"/>
                <w:b/>
              </w:rPr>
              <w:t>Przeciwdziałanie wykluczeniu społecznemu – aktywizacja zawodowa</w:t>
            </w:r>
          </w:p>
        </w:tc>
      </w:tr>
      <w:tr>
        <w:trPr/>
        <w:tc>
          <w:tcPr>
            <w:tcW w:w="28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Podmiot inicjujący / realizujący projekt</w:t>
            </w:r>
          </w:p>
        </w:tc>
        <w:tc>
          <w:tcPr>
            <w:tcW w:w="62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Gmina Choceń</w:t>
            </w:r>
          </w:p>
        </w:tc>
      </w:tr>
      <w:tr>
        <w:trPr/>
        <w:tc>
          <w:tcPr>
            <w:tcW w:w="28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Partnerzy z opisem ich ról / zadań</w:t>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(w przypadku projektu planowanego do realizacji w partnerstwie)</w:t>
            </w:r>
          </w:p>
        </w:tc>
        <w:tc>
          <w:tcPr>
            <w:tcW w:w="62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r>
          </w:p>
        </w:tc>
      </w:tr>
      <w:tr>
        <w:trPr/>
        <w:tc>
          <w:tcPr>
            <w:tcW w:w="28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 xml:space="preserve">Priorytet sektorowy LPRG, w który wpisuje się zgłaszany projekt </w:t>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(jeżeli zgłaszany projekt wpisuje się w kilka priorytetów sektorowych bardzo proszę o ich zaznaczenie wraz z przyporządkowaniem budżetu projektu do każdego z PS)</w:t>
            </w:r>
          </w:p>
        </w:tc>
        <w:tc>
          <w:tcPr>
            <w:tcW w:w="6208"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35"/>
              </w:numPr>
              <w:suppressAutoHyphens w:val="true"/>
              <w:jc w:val="both"/>
              <w:rPr>
                <w:sz w:val="22"/>
                <w:szCs w:val="22"/>
              </w:rPr>
            </w:pPr>
            <w:r>
              <w:rPr>
                <w:sz w:val="22"/>
                <w:szCs w:val="22"/>
              </w:rPr>
              <w:t xml:space="preserve">PS 1 </w:t>
            </w:r>
          </w:p>
          <w:p>
            <w:pPr>
              <w:pStyle w:val="ListParagraph"/>
              <w:widowControl w:val="false"/>
              <w:numPr>
                <w:ilvl w:val="0"/>
                <w:numId w:val="35"/>
              </w:numPr>
              <w:suppressAutoHyphens w:val="true"/>
              <w:jc w:val="both"/>
              <w:rPr>
                <w:sz w:val="22"/>
                <w:szCs w:val="22"/>
              </w:rPr>
            </w:pPr>
            <w:r>
              <w:rPr>
                <w:sz w:val="22"/>
                <w:szCs w:val="22"/>
              </w:rPr>
              <w:t>PS 2</w:t>
            </w:r>
          </w:p>
          <w:p>
            <w:pPr>
              <w:pStyle w:val="ListParagraph"/>
              <w:widowControl w:val="false"/>
              <w:numPr>
                <w:ilvl w:val="0"/>
                <w:numId w:val="35"/>
              </w:numPr>
              <w:suppressAutoHyphens w:val="true"/>
              <w:jc w:val="both"/>
              <w:rPr>
                <w:sz w:val="22"/>
                <w:szCs w:val="22"/>
              </w:rPr>
            </w:pPr>
            <w:r>
              <w:rPr>
                <w:sz w:val="22"/>
                <w:szCs w:val="22"/>
              </w:rPr>
              <w:t>PS 3</w:t>
            </w:r>
          </w:p>
          <w:p>
            <w:pPr>
              <w:pStyle w:val="ListParagraph"/>
              <w:widowControl w:val="false"/>
              <w:numPr>
                <w:ilvl w:val="0"/>
                <w:numId w:val="35"/>
              </w:numPr>
              <w:suppressAutoHyphens w:val="true"/>
              <w:jc w:val="both"/>
              <w:rPr>
                <w:sz w:val="22"/>
                <w:szCs w:val="22"/>
              </w:rPr>
            </w:pPr>
            <w:r>
              <w:rPr>
                <w:sz w:val="22"/>
                <w:szCs w:val="22"/>
              </w:rPr>
              <w:t>PS 4</w:t>
            </w:r>
          </w:p>
          <w:p>
            <w:pPr>
              <w:pStyle w:val="ListParagraph"/>
              <w:widowControl w:val="false"/>
              <w:numPr>
                <w:ilvl w:val="0"/>
                <w:numId w:val="35"/>
              </w:numPr>
              <w:suppressAutoHyphens w:val="true"/>
              <w:jc w:val="both"/>
              <w:rPr>
                <w:sz w:val="22"/>
                <w:szCs w:val="22"/>
              </w:rPr>
            </w:pPr>
            <w:r>
              <w:rPr>
                <w:sz w:val="22"/>
                <w:szCs w:val="22"/>
              </w:rPr>
              <w:t>PS 5</w:t>
            </w:r>
          </w:p>
          <w:p>
            <w:pPr>
              <w:pStyle w:val="ListParagraph"/>
              <w:widowControl w:val="false"/>
              <w:numPr>
                <w:ilvl w:val="0"/>
                <w:numId w:val="35"/>
              </w:numPr>
              <w:suppressAutoHyphens w:val="true"/>
              <w:jc w:val="both"/>
              <w:rPr>
                <w:sz w:val="22"/>
                <w:szCs w:val="22"/>
              </w:rPr>
            </w:pPr>
            <w:r>
              <w:rPr>
                <w:sz w:val="22"/>
                <w:szCs w:val="22"/>
              </w:rPr>
              <w:t>PS 6</w:t>
            </w:r>
          </w:p>
          <w:p>
            <w:pPr>
              <w:pStyle w:val="ListParagraph"/>
              <w:widowControl w:val="false"/>
              <w:numPr>
                <w:ilvl w:val="0"/>
                <w:numId w:val="35"/>
              </w:numPr>
              <w:suppressAutoHyphens w:val="true"/>
              <w:jc w:val="both"/>
              <w:rPr>
                <w:sz w:val="22"/>
                <w:szCs w:val="22"/>
              </w:rPr>
            </w:pPr>
            <w:r>
              <w:rPr>
                <w:sz w:val="22"/>
                <w:szCs w:val="22"/>
              </w:rPr>
              <w:t>PS 7</w:t>
            </w:r>
          </w:p>
        </w:tc>
      </w:tr>
      <w:tr>
        <w:trPr/>
        <w:tc>
          <w:tcPr>
            <w:tcW w:w="28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Cele projektu i ich powiązanie z celami LPRG</w:t>
            </w:r>
          </w:p>
        </w:tc>
        <w:tc>
          <w:tcPr>
            <w:tcW w:w="62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 xml:space="preserve">Celem projektu jest podniesienie aktywności społecznej i zawodowej mieszkańców gminy poprzez kursy i szkolenia skierowane do osób w wieku produkcyjnym zagrożonych bezrobociem. </w:t>
            </w:r>
          </w:p>
        </w:tc>
      </w:tr>
      <w:tr>
        <w:trPr/>
        <w:tc>
          <w:tcPr>
            <w:tcW w:w="28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 xml:space="preserve">Koszt całkowity projektu w zł </w:t>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(w rozbiciu na kwotę netto i VAT)</w:t>
            </w:r>
          </w:p>
        </w:tc>
        <w:tc>
          <w:tcPr>
            <w:tcW w:w="62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1 200 000</w:t>
            </w:r>
          </w:p>
        </w:tc>
      </w:tr>
      <w:tr>
        <w:trPr/>
        <w:tc>
          <w:tcPr>
            <w:tcW w:w="28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 xml:space="preserve">Projekt przewidziany do realizacji w ramach RPO </w:t>
            </w:r>
          </w:p>
        </w:tc>
        <w:tc>
          <w:tcPr>
            <w:tcW w:w="62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 xml:space="preserve">Tak / Nie </w:t>
            </w:r>
          </w:p>
        </w:tc>
      </w:tr>
      <w:tr>
        <w:trPr>
          <w:trHeight w:val="1268" w:hRule="atLeast"/>
        </w:trPr>
        <w:tc>
          <w:tcPr>
            <w:tcW w:w="28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Źródła finansowania projektu (w %)</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r>
          </w:p>
        </w:tc>
        <w:tc>
          <w:tcPr>
            <w:tcW w:w="6208"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34"/>
              </w:numPr>
              <w:suppressAutoHyphens w:val="true"/>
              <w:jc w:val="both"/>
              <w:rPr>
                <w:sz w:val="22"/>
                <w:szCs w:val="22"/>
              </w:rPr>
            </w:pPr>
            <w:r>
              <w:rPr>
                <w:sz w:val="22"/>
                <w:szCs w:val="22"/>
              </w:rPr>
              <w:t xml:space="preserve">Środki Regionalnego Programu Operacyjnego </w:t>
            </w:r>
          </w:p>
          <w:p>
            <w:pPr>
              <w:pStyle w:val="ListParagraph"/>
              <w:widowControl w:val="false"/>
              <w:numPr>
                <w:ilvl w:val="0"/>
                <w:numId w:val="34"/>
              </w:numPr>
              <w:suppressAutoHyphens w:val="true"/>
              <w:jc w:val="both"/>
              <w:rPr>
                <w:sz w:val="22"/>
                <w:szCs w:val="22"/>
              </w:rPr>
            </w:pPr>
            <w:r>
              <w:rPr>
                <w:sz w:val="22"/>
                <w:szCs w:val="22"/>
              </w:rPr>
              <w:t xml:space="preserve">Środki rządowe </w:t>
            </w:r>
          </w:p>
          <w:p>
            <w:pPr>
              <w:pStyle w:val="ListParagraph"/>
              <w:widowControl w:val="false"/>
              <w:numPr>
                <w:ilvl w:val="0"/>
                <w:numId w:val="34"/>
              </w:numPr>
              <w:suppressAutoHyphens w:val="true"/>
              <w:jc w:val="both"/>
              <w:rPr>
                <w:sz w:val="22"/>
                <w:szCs w:val="22"/>
              </w:rPr>
            </w:pPr>
            <w:r>
              <w:rPr>
                <w:sz w:val="22"/>
                <w:szCs w:val="22"/>
              </w:rPr>
              <w:t xml:space="preserve">Środki województwa </w:t>
            </w:r>
          </w:p>
          <w:p>
            <w:pPr>
              <w:pStyle w:val="ListParagraph"/>
              <w:widowControl w:val="false"/>
              <w:numPr>
                <w:ilvl w:val="0"/>
                <w:numId w:val="34"/>
              </w:numPr>
              <w:suppressAutoHyphens w:val="true"/>
              <w:jc w:val="both"/>
              <w:rPr>
                <w:sz w:val="22"/>
                <w:szCs w:val="22"/>
              </w:rPr>
            </w:pPr>
            <w:r>
              <w:rPr>
                <w:sz w:val="22"/>
                <w:szCs w:val="22"/>
              </w:rPr>
              <w:t xml:space="preserve">Środki powiatu </w:t>
            </w:r>
          </w:p>
          <w:p>
            <w:pPr>
              <w:pStyle w:val="ListParagraph"/>
              <w:widowControl w:val="false"/>
              <w:numPr>
                <w:ilvl w:val="0"/>
                <w:numId w:val="34"/>
              </w:numPr>
              <w:suppressAutoHyphens w:val="true"/>
              <w:jc w:val="both"/>
              <w:rPr>
                <w:sz w:val="22"/>
                <w:szCs w:val="22"/>
              </w:rPr>
            </w:pPr>
            <w:r>
              <w:rPr>
                <w:sz w:val="22"/>
                <w:szCs w:val="22"/>
              </w:rPr>
              <w:t xml:space="preserve">Środki gminy </w:t>
            </w:r>
          </w:p>
          <w:p>
            <w:pPr>
              <w:pStyle w:val="ListParagraph"/>
              <w:widowControl w:val="false"/>
              <w:numPr>
                <w:ilvl w:val="0"/>
                <w:numId w:val="34"/>
              </w:numPr>
              <w:suppressAutoHyphens w:val="true"/>
              <w:jc w:val="both"/>
              <w:rPr>
                <w:sz w:val="22"/>
                <w:szCs w:val="22"/>
              </w:rPr>
            </w:pPr>
            <w:r>
              <w:rPr>
                <w:sz w:val="22"/>
                <w:szCs w:val="22"/>
              </w:rPr>
              <w:t xml:space="preserve">Środki prywatne </w:t>
            </w:r>
          </w:p>
          <w:p>
            <w:pPr>
              <w:pStyle w:val="ListParagraph"/>
              <w:widowControl w:val="false"/>
              <w:numPr>
                <w:ilvl w:val="0"/>
                <w:numId w:val="34"/>
              </w:numPr>
              <w:suppressAutoHyphens w:val="true"/>
              <w:jc w:val="both"/>
              <w:rPr>
                <w:sz w:val="22"/>
                <w:szCs w:val="22"/>
              </w:rPr>
            </w:pPr>
            <w:r>
              <w:rPr>
                <w:sz w:val="22"/>
                <w:szCs w:val="22"/>
              </w:rPr>
              <w:t xml:space="preserve">Inne (jakie …) </w:t>
            </w:r>
          </w:p>
        </w:tc>
      </w:tr>
      <w:tr>
        <w:trPr>
          <w:trHeight w:val="1267" w:hRule="atLeast"/>
        </w:trPr>
        <w:tc>
          <w:tcPr>
            <w:tcW w:w="28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eastAsia="Times New Roman" w:cs="Times New Roman"/>
                <w:lang w:eastAsia="pl-PL"/>
              </w:rPr>
            </w:pPr>
            <w:r>
              <w:rPr>
                <w:rFonts w:cs="Times New Roman" w:ascii="Times New Roman" w:hAnsi="Times New Roman"/>
              </w:rPr>
              <w:t xml:space="preserve">Występowanie pomocy publicznej w projekcie </w:t>
            </w:r>
          </w:p>
        </w:tc>
        <w:tc>
          <w:tcPr>
            <w:tcW w:w="62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Nie</w:t>
            </w:r>
          </w:p>
        </w:tc>
      </w:tr>
      <w:tr>
        <w:trPr/>
        <w:tc>
          <w:tcPr>
            <w:tcW w:w="28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Zwięzły opis projektu</w:t>
            </w:r>
          </w:p>
        </w:tc>
        <w:tc>
          <w:tcPr>
            <w:tcW w:w="6208" w:type="dxa"/>
            <w:tcBorders>
              <w:top w:val="single" w:sz="4" w:space="0" w:color="000000"/>
              <w:left w:val="single" w:sz="4" w:space="0" w:color="000000"/>
              <w:bottom w:val="single" w:sz="4" w:space="0" w:color="000000"/>
              <w:right w:val="single" w:sz="4" w:space="0" w:color="000000"/>
            </w:tcBorders>
          </w:tcPr>
          <w:p>
            <w:pPr>
              <w:pStyle w:val="ListParagraph"/>
              <w:widowControl w:val="false"/>
              <w:ind w:left="0" w:hanging="0"/>
              <w:jc w:val="both"/>
              <w:rPr>
                <w:sz w:val="22"/>
                <w:szCs w:val="22"/>
              </w:rPr>
            </w:pPr>
            <w:r>
              <w:rPr>
                <w:sz w:val="22"/>
                <w:szCs w:val="22"/>
              </w:rPr>
              <w:t xml:space="preserve">Celem projektu jest zwiększenie szans na zatrudnienie. Jednym z problemów dotykających ludzi w gminie Choceń jest problem bezrobocia dotyczy to szczególnie osób zagrożonych wykluczeniem społecznym oraz marginalizacja osób bezrobotnych lub nieaktywnych zawodowo a także ich rodzin. Aktywizacja poprawi ich sytuację na rynku pracy.  Wyposażenie bezrobotnych w dodatkowe kwalifikacje będzie stanowić dla pracodawców zasób wykwalifikowanych pracowników. Wysoka jakość kapitału  ludzkiego zapewni konkurencyjność  i innowacyjność sektora MŚP. Projekt jest zgodny z diagnozą LPRG , która wskazuje na spadek bezrobocia w gminie Choceń w 2020 roku w stosunku do lat poprzednich jednakże jest spora grupa ludzi objęta pomocą Gminnego Ośrodka Pomocy Społecznej W 2020 roku pomocą społeczną objęte było 374 rodziny.  </w:t>
            </w:r>
          </w:p>
          <w:p>
            <w:pPr>
              <w:pStyle w:val="ListParagraph"/>
              <w:widowControl w:val="false"/>
              <w:ind w:left="0" w:hanging="0"/>
              <w:jc w:val="both"/>
              <w:rPr>
                <w:sz w:val="22"/>
                <w:szCs w:val="22"/>
              </w:rPr>
            </w:pPr>
            <w:r>
              <w:rPr>
                <w:sz w:val="22"/>
                <w:szCs w:val="22"/>
              </w:rPr>
              <w:t xml:space="preserve">Projekt zakłada </w:t>
            </w:r>
          </w:p>
          <w:p>
            <w:pPr>
              <w:pStyle w:val="ListParagraph"/>
              <w:widowControl w:val="false"/>
              <w:ind w:left="0" w:hanging="0"/>
              <w:jc w:val="both"/>
              <w:rPr>
                <w:sz w:val="22"/>
                <w:szCs w:val="22"/>
              </w:rPr>
            </w:pPr>
            <w:r>
              <w:rPr>
                <w:sz w:val="22"/>
                <w:szCs w:val="22"/>
              </w:rPr>
              <w:t>- zajęcia z psychologiem w celu wyboru ścieżki kariery zawodowej</w:t>
            </w:r>
          </w:p>
          <w:p>
            <w:pPr>
              <w:pStyle w:val="ListParagraph"/>
              <w:widowControl w:val="false"/>
              <w:ind w:left="0" w:hanging="0"/>
              <w:jc w:val="both"/>
              <w:rPr>
                <w:sz w:val="22"/>
                <w:szCs w:val="22"/>
              </w:rPr>
            </w:pPr>
            <w:r>
              <w:rPr>
                <w:sz w:val="22"/>
                <w:szCs w:val="22"/>
              </w:rPr>
              <w:t>- udział w kursach zwiększających kompetencje zawodowe</w:t>
            </w:r>
          </w:p>
        </w:tc>
      </w:tr>
      <w:tr>
        <w:trPr/>
        <w:tc>
          <w:tcPr>
            <w:tcW w:w="28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 xml:space="preserve">Stan przygotowań do realizacji projektu </w:t>
            </w:r>
          </w:p>
        </w:tc>
        <w:tc>
          <w:tcPr>
            <w:tcW w:w="62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Rekrutacja i nabór I kwartał 2022</w:t>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r>
          </w:p>
        </w:tc>
      </w:tr>
      <w:tr>
        <w:trPr/>
        <w:tc>
          <w:tcPr>
            <w:tcW w:w="28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rPr>
            </w:pPr>
            <w:r>
              <w:rPr>
                <w:rFonts w:eastAsia="Times New Roman" w:cs="Times New Roman" w:ascii="Times New Roman" w:hAnsi="Times New Roman"/>
                <w:lang w:eastAsia="pl-PL"/>
              </w:rPr>
              <w:t>Harmonogram realizacji przedsięwzięcia</w:t>
            </w:r>
          </w:p>
        </w:tc>
        <w:tc>
          <w:tcPr>
            <w:tcW w:w="62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 uzyskanie dofinansowania</w:t>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 rekrutacja i nabór uczestników</w:t>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 realizacja form aktywnej integracji , kursów i szkoleń</w:t>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-nadzór nad realizacją i promocją projektu</w:t>
            </w:r>
          </w:p>
        </w:tc>
      </w:tr>
      <w:tr>
        <w:trPr/>
        <w:tc>
          <w:tcPr>
            <w:tcW w:w="28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rPr>
            </w:pPr>
            <w:r>
              <w:rPr>
                <w:rFonts w:eastAsia="Times New Roman" w:cs="Times New Roman" w:ascii="Times New Roman" w:hAnsi="Times New Roman"/>
                <w:lang w:eastAsia="pl-PL"/>
              </w:rPr>
              <w:t>Przewidywany termin rozpoczęcia realizacji projektu</w:t>
            </w:r>
          </w:p>
        </w:tc>
        <w:tc>
          <w:tcPr>
            <w:tcW w:w="62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I 2022</w:t>
            </w:r>
          </w:p>
        </w:tc>
      </w:tr>
      <w:tr>
        <w:trPr/>
        <w:tc>
          <w:tcPr>
            <w:tcW w:w="28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Przewidywany termin zakończenia realizacji projektu</w:t>
            </w:r>
          </w:p>
        </w:tc>
        <w:tc>
          <w:tcPr>
            <w:tcW w:w="620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IV 2023</w:t>
            </w:r>
          </w:p>
        </w:tc>
      </w:tr>
    </w:tbl>
    <w:p>
      <w:pPr>
        <w:pStyle w:val="Nagwek2"/>
        <w:rPr>
          <w:rFonts w:ascii="Times New Roman" w:hAnsi="Times New Roman" w:cs="Times New Roman"/>
          <w:sz w:val="24"/>
          <w:szCs w:val="24"/>
        </w:rPr>
      </w:pPr>
      <w:bookmarkStart w:id="50" w:name="_Toc85228986"/>
      <w:r>
        <w:rPr>
          <w:rFonts w:cs="Times New Roman" w:ascii="Times New Roman" w:hAnsi="Times New Roman"/>
          <w:bCs/>
          <w:sz w:val="24"/>
          <w:szCs w:val="24"/>
        </w:rPr>
        <w:t xml:space="preserve">Projekt 2. </w:t>
      </w:r>
      <w:r>
        <w:rPr>
          <w:rFonts w:cs="Times New Roman" w:ascii="Times New Roman" w:hAnsi="Times New Roman"/>
          <w:sz w:val="24"/>
          <w:szCs w:val="24"/>
        </w:rPr>
        <w:t>Utworzenie Lokalnej Organizacji Gospodarczej na terenie Gminy Choceń</w:t>
      </w:r>
      <w:bookmarkEnd w:id="50"/>
    </w:p>
    <w:p>
      <w:pPr>
        <w:pStyle w:val="Normal"/>
        <w:spacing w:lineRule="auto" w:line="240" w:before="0" w:after="0"/>
        <w:jc w:val="both"/>
        <w:rPr>
          <w:rFonts w:ascii="Times New Roman" w:hAnsi="Times New Roman" w:cs="Times New Roman"/>
          <w:b/>
          <w:b/>
          <w:bCs/>
        </w:rPr>
      </w:pPr>
      <w:r>
        <w:rPr>
          <w:rFonts w:cs="Times New Roman" w:ascii="Times New Roman" w:hAnsi="Times New Roman"/>
          <w:b/>
          <w:bCs/>
        </w:rPr>
      </w:r>
    </w:p>
    <w:tbl>
      <w:tblPr>
        <w:tblW w:w="9039"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547"/>
        <w:gridCol w:w="6491"/>
      </w:tblGrid>
      <w:tr>
        <w:trPr/>
        <w:tc>
          <w:tcPr>
            <w:tcW w:w="25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Tytuł / Nazwa projektu</w:t>
            </w:r>
          </w:p>
        </w:tc>
        <w:tc>
          <w:tcPr>
            <w:tcW w:w="64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b/>
                <w:b/>
              </w:rPr>
            </w:pPr>
            <w:r>
              <w:rPr>
                <w:rFonts w:cs="Times New Roman" w:ascii="Times New Roman" w:hAnsi="Times New Roman"/>
                <w:b/>
              </w:rPr>
              <w:t>Utworzenie Lokalnej Organizacji Gospodarczej na terenie Gminy Choceń</w:t>
            </w:r>
          </w:p>
        </w:tc>
      </w:tr>
      <w:tr>
        <w:trPr>
          <w:trHeight w:val="228" w:hRule="atLeast"/>
        </w:trPr>
        <w:tc>
          <w:tcPr>
            <w:tcW w:w="25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Podmiot inicjujący / realizujący projekt</w:t>
            </w:r>
          </w:p>
        </w:tc>
        <w:tc>
          <w:tcPr>
            <w:tcW w:w="64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Urząd Gminy Choceń</w:t>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r>
          </w:p>
        </w:tc>
      </w:tr>
      <w:tr>
        <w:trPr/>
        <w:tc>
          <w:tcPr>
            <w:tcW w:w="25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Partnerzy z opisem ich ról / zadań</w:t>
            </w:r>
          </w:p>
        </w:tc>
        <w:tc>
          <w:tcPr>
            <w:tcW w:w="64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 xml:space="preserve">Przykładowi partnerzy lokalni: Ośrodki Wspierania Ekonomii Społecznej, Powiatowe Urzędy Pracy, Punkty Informacyjne Funduszy Europejskich </w:t>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Rola zadania: Promocja inicjatywy, wsparcie rekrutacji do organizacji, bezpośrednie współfinansowanie tworzenia organizacji</w:t>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 xml:space="preserve">Instytucje Otoczenia Biznesu z województwa realizujące projekty w zakresie dofinansowania działalności gospodarczej np. Toruńska Agencja Rozwoju Regionalnego S.A., Polskie Towarzystwo Ekonomiczne Odział w Bydgoszczy, Izba Przemysłowo Handlowa w Toruniu </w:t>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Rola / zadania: bezpośrednie dofinansowania  tworzenia nowych podmiotów gospodarczych będących członkami LOG</w:t>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Uczelnie: Wyższa Szkoła Gospodarki w Bydgoszczy</w:t>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Szkoła Główna Handlowa</w:t>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 xml:space="preserve">Rola / zadania: Wsparcie w zakresie przygotowania wniosku o dofinansowanie, wsparcie doradcze i szkoleniowe </w:t>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r>
          </w:p>
        </w:tc>
      </w:tr>
      <w:tr>
        <w:trPr/>
        <w:tc>
          <w:tcPr>
            <w:tcW w:w="25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 xml:space="preserve">Cele projektu i powiązanie z celami LPRG </w:t>
            </w:r>
          </w:p>
        </w:tc>
        <w:tc>
          <w:tcPr>
            <w:tcW w:w="64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Lokalna Organizacja Gospodarcza powstaje w celu:</w:t>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1) Prowadzenia punktu konsultacyjno-doradczego dla osób chcących podjąć prowadzenie działalności gospodarczej oraz przedsiębiorców;</w:t>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2) Świadczenia usług wspierających prowadzenie działalności gospodarczej;</w:t>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3) Opracowywania i realizacji przedsięwzięć rozwojowych;</w:t>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4) Uczestnictwa w procedurach konsultacji dokumentów planistycznych istotnych dla prowadzenia działalności gospodarczej;</w:t>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5) Zwiększania atrakcyjności inwestycyjnej gminy Choceń.;</w:t>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6) Tworzenia sieci współpracy między lokalnymi przedsiębiorcami;</w:t>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7) Tworzenia warunków do partnerskich rozmów między przedsiębiorcami a władzami lokalnymi;</w:t>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r>
          </w:p>
        </w:tc>
      </w:tr>
      <w:tr>
        <w:trPr>
          <w:trHeight w:val="338" w:hRule="atLeast"/>
        </w:trPr>
        <w:tc>
          <w:tcPr>
            <w:tcW w:w="25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 xml:space="preserve">Koszt całkowity projektu w zł </w:t>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r>
          </w:p>
        </w:tc>
        <w:tc>
          <w:tcPr>
            <w:tcW w:w="64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100.000 zł + VAT</w:t>
            </w:r>
          </w:p>
        </w:tc>
      </w:tr>
      <w:tr>
        <w:trPr/>
        <w:tc>
          <w:tcPr>
            <w:tcW w:w="25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 xml:space="preserve">Projekt przewidziany do realizacji w ramach RPO </w:t>
            </w:r>
          </w:p>
        </w:tc>
        <w:tc>
          <w:tcPr>
            <w:tcW w:w="64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 xml:space="preserve">Tak / Nie </w:t>
            </w:r>
          </w:p>
        </w:tc>
      </w:tr>
      <w:tr>
        <w:trPr>
          <w:trHeight w:val="424" w:hRule="atLeast"/>
        </w:trPr>
        <w:tc>
          <w:tcPr>
            <w:tcW w:w="25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Źródła finansowania projektu (w %)</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r>
          </w:p>
        </w:tc>
        <w:tc>
          <w:tcPr>
            <w:tcW w:w="6491"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37"/>
              </w:numPr>
              <w:suppressAutoHyphens w:val="true"/>
              <w:jc w:val="both"/>
              <w:rPr>
                <w:b/>
                <w:b/>
                <w:sz w:val="22"/>
                <w:szCs w:val="22"/>
              </w:rPr>
            </w:pPr>
            <w:r>
              <w:rPr>
                <w:b/>
                <w:sz w:val="22"/>
                <w:szCs w:val="22"/>
              </w:rPr>
              <w:t xml:space="preserve">Środki RPO </w:t>
            </w:r>
          </w:p>
          <w:p>
            <w:pPr>
              <w:pStyle w:val="ListParagraph"/>
              <w:widowControl w:val="false"/>
              <w:numPr>
                <w:ilvl w:val="0"/>
                <w:numId w:val="37"/>
              </w:numPr>
              <w:suppressAutoHyphens w:val="true"/>
              <w:jc w:val="both"/>
              <w:rPr>
                <w:strike/>
                <w:sz w:val="22"/>
                <w:szCs w:val="22"/>
              </w:rPr>
            </w:pPr>
            <w:r>
              <w:rPr>
                <w:strike/>
                <w:sz w:val="22"/>
                <w:szCs w:val="22"/>
              </w:rPr>
              <w:t xml:space="preserve">Środki rządowe </w:t>
            </w:r>
          </w:p>
          <w:p>
            <w:pPr>
              <w:pStyle w:val="ListParagraph"/>
              <w:widowControl w:val="false"/>
              <w:numPr>
                <w:ilvl w:val="0"/>
                <w:numId w:val="37"/>
              </w:numPr>
              <w:suppressAutoHyphens w:val="true"/>
              <w:jc w:val="both"/>
              <w:rPr>
                <w:strike/>
                <w:sz w:val="22"/>
                <w:szCs w:val="22"/>
              </w:rPr>
            </w:pPr>
            <w:r>
              <w:rPr>
                <w:strike/>
                <w:sz w:val="22"/>
                <w:szCs w:val="22"/>
              </w:rPr>
              <w:t xml:space="preserve">Środki województwa </w:t>
            </w:r>
          </w:p>
          <w:p>
            <w:pPr>
              <w:pStyle w:val="ListParagraph"/>
              <w:widowControl w:val="false"/>
              <w:numPr>
                <w:ilvl w:val="0"/>
                <w:numId w:val="37"/>
              </w:numPr>
              <w:suppressAutoHyphens w:val="true"/>
              <w:jc w:val="both"/>
              <w:rPr>
                <w:strike/>
                <w:sz w:val="22"/>
                <w:szCs w:val="22"/>
              </w:rPr>
            </w:pPr>
            <w:r>
              <w:rPr>
                <w:strike/>
                <w:sz w:val="22"/>
                <w:szCs w:val="22"/>
              </w:rPr>
              <w:t xml:space="preserve">Środki powiatu </w:t>
            </w:r>
          </w:p>
          <w:p>
            <w:pPr>
              <w:pStyle w:val="ListParagraph"/>
              <w:widowControl w:val="false"/>
              <w:numPr>
                <w:ilvl w:val="0"/>
                <w:numId w:val="37"/>
              </w:numPr>
              <w:suppressAutoHyphens w:val="true"/>
              <w:jc w:val="both"/>
              <w:rPr>
                <w:b/>
                <w:b/>
                <w:sz w:val="22"/>
                <w:szCs w:val="22"/>
              </w:rPr>
            </w:pPr>
            <w:r>
              <w:rPr>
                <w:b/>
                <w:sz w:val="22"/>
                <w:szCs w:val="22"/>
              </w:rPr>
              <w:t xml:space="preserve">Środki gminy </w:t>
            </w:r>
          </w:p>
          <w:p>
            <w:pPr>
              <w:pStyle w:val="ListParagraph"/>
              <w:widowControl w:val="false"/>
              <w:numPr>
                <w:ilvl w:val="0"/>
                <w:numId w:val="37"/>
              </w:numPr>
              <w:suppressAutoHyphens w:val="true"/>
              <w:jc w:val="both"/>
              <w:rPr>
                <w:strike/>
                <w:sz w:val="22"/>
                <w:szCs w:val="22"/>
              </w:rPr>
            </w:pPr>
            <w:r>
              <w:rPr>
                <w:strike/>
                <w:sz w:val="22"/>
                <w:szCs w:val="22"/>
              </w:rPr>
              <w:t xml:space="preserve">Środki prywatne </w:t>
            </w:r>
          </w:p>
          <w:p>
            <w:pPr>
              <w:pStyle w:val="ListParagraph"/>
              <w:widowControl w:val="false"/>
              <w:numPr>
                <w:ilvl w:val="0"/>
                <w:numId w:val="37"/>
              </w:numPr>
              <w:suppressAutoHyphens w:val="true"/>
              <w:jc w:val="both"/>
              <w:rPr>
                <w:sz w:val="22"/>
                <w:szCs w:val="22"/>
              </w:rPr>
            </w:pPr>
            <w:r>
              <w:rPr>
                <w:strike/>
                <w:sz w:val="22"/>
                <w:szCs w:val="22"/>
              </w:rPr>
              <w:t>Inne (jakie …)</w:t>
            </w:r>
            <w:r>
              <w:rPr>
                <w:sz w:val="22"/>
                <w:szCs w:val="22"/>
              </w:rPr>
              <w:t xml:space="preserve"> </w:t>
            </w:r>
          </w:p>
        </w:tc>
      </w:tr>
      <w:tr>
        <w:trPr>
          <w:trHeight w:val="1267" w:hRule="atLeast"/>
        </w:trPr>
        <w:tc>
          <w:tcPr>
            <w:tcW w:w="25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eastAsia="Times New Roman" w:cs="Times New Roman"/>
                <w:lang w:eastAsia="pl-PL"/>
              </w:rPr>
            </w:pPr>
            <w:r>
              <w:rPr>
                <w:rFonts w:cs="Times New Roman" w:ascii="Times New Roman" w:hAnsi="Times New Roman"/>
              </w:rPr>
              <w:t xml:space="preserve">Występowanie pomocy publicznej w projekcie </w:t>
            </w:r>
          </w:p>
        </w:tc>
        <w:tc>
          <w:tcPr>
            <w:tcW w:w="64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Należy wskazać czy w projekcie występuje pomoc publiczna:</w:t>
            </w:r>
          </w:p>
          <w:p>
            <w:pPr>
              <w:pStyle w:val="ListParagraph"/>
              <w:widowControl w:val="false"/>
              <w:numPr>
                <w:ilvl w:val="0"/>
                <w:numId w:val="36"/>
              </w:numPr>
              <w:suppressAutoHyphens w:val="true"/>
              <w:jc w:val="both"/>
              <w:rPr>
                <w:sz w:val="22"/>
                <w:szCs w:val="22"/>
              </w:rPr>
            </w:pPr>
            <w:r>
              <w:rPr>
                <w:sz w:val="22"/>
                <w:szCs w:val="22"/>
              </w:rPr>
              <w:t>jeżeli tak – należy wpisać „Tak” oraz przedstawić krótką analizę</w:t>
            </w:r>
          </w:p>
          <w:p>
            <w:pPr>
              <w:pStyle w:val="ListParagraph"/>
              <w:widowControl w:val="false"/>
              <w:numPr>
                <w:ilvl w:val="0"/>
                <w:numId w:val="36"/>
              </w:numPr>
              <w:suppressAutoHyphens w:val="true"/>
              <w:jc w:val="both"/>
              <w:rPr>
                <w:sz w:val="22"/>
                <w:szCs w:val="22"/>
              </w:rPr>
            </w:pPr>
            <w:r>
              <w:rPr>
                <w:sz w:val="22"/>
                <w:szCs w:val="22"/>
              </w:rPr>
              <w:t>jeżeli nie – należy wpisać „Nie” lub „Nie dotyczy</w:t>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TAK – Wsparcie bezpośrednie dla MŚP może być formą pomocy publicznej (pomocą de minimis). Program pomocowy: Rozporządzenie Ministra Infrastruktury i Rozwoju z dnia 19 marca 2015 r. w sprawie udzielania pomocy de minimis w ramach regionalnych programów operacyjnych na lata 2014-2020 (Dz. U. poz. 488)</w:t>
            </w:r>
          </w:p>
        </w:tc>
      </w:tr>
      <w:tr>
        <w:trPr/>
        <w:tc>
          <w:tcPr>
            <w:tcW w:w="25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 xml:space="preserve">Zwięzły opis projektu </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(około 1 strony A4)</w:t>
            </w:r>
          </w:p>
        </w:tc>
        <w:tc>
          <w:tcPr>
            <w:tcW w:w="64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FAZY:</w:t>
            </w:r>
          </w:p>
          <w:p>
            <w:pPr>
              <w:pStyle w:val="ListParagraph"/>
              <w:widowControl w:val="false"/>
              <w:numPr>
                <w:ilvl w:val="0"/>
                <w:numId w:val="38"/>
              </w:numPr>
              <w:suppressAutoHyphens w:val="true"/>
              <w:ind w:left="320" w:hanging="320"/>
              <w:jc w:val="both"/>
              <w:rPr>
                <w:sz w:val="22"/>
                <w:szCs w:val="22"/>
              </w:rPr>
            </w:pPr>
            <w:r>
              <w:rPr>
                <w:sz w:val="22"/>
                <w:szCs w:val="22"/>
              </w:rPr>
              <w:t>Konsultacje społeczne</w:t>
            </w:r>
          </w:p>
          <w:p>
            <w:pPr>
              <w:pStyle w:val="ListParagraph"/>
              <w:widowControl w:val="false"/>
              <w:numPr>
                <w:ilvl w:val="0"/>
                <w:numId w:val="38"/>
              </w:numPr>
              <w:suppressAutoHyphens w:val="true"/>
              <w:ind w:left="320" w:hanging="320"/>
              <w:jc w:val="both"/>
              <w:rPr>
                <w:sz w:val="22"/>
                <w:szCs w:val="22"/>
              </w:rPr>
            </w:pPr>
            <w:r>
              <w:rPr>
                <w:sz w:val="22"/>
                <w:szCs w:val="22"/>
              </w:rPr>
              <w:t>Analiza zewnętrznych źródeł finansowania</w:t>
            </w:r>
          </w:p>
          <w:p>
            <w:pPr>
              <w:pStyle w:val="ListParagraph"/>
              <w:widowControl w:val="false"/>
              <w:numPr>
                <w:ilvl w:val="0"/>
                <w:numId w:val="38"/>
              </w:numPr>
              <w:suppressAutoHyphens w:val="true"/>
              <w:ind w:left="320" w:hanging="320"/>
              <w:jc w:val="both"/>
              <w:rPr>
                <w:sz w:val="22"/>
                <w:szCs w:val="22"/>
              </w:rPr>
            </w:pPr>
            <w:r>
              <w:rPr>
                <w:sz w:val="22"/>
                <w:szCs w:val="22"/>
              </w:rPr>
              <w:t>Inicjowanie tworzenia LOG</w:t>
            </w:r>
          </w:p>
          <w:p>
            <w:pPr>
              <w:pStyle w:val="ListParagraph"/>
              <w:widowControl w:val="false"/>
              <w:numPr>
                <w:ilvl w:val="0"/>
                <w:numId w:val="38"/>
              </w:numPr>
              <w:suppressAutoHyphens w:val="true"/>
              <w:ind w:left="320" w:hanging="320"/>
              <w:jc w:val="both"/>
              <w:rPr>
                <w:sz w:val="22"/>
                <w:szCs w:val="22"/>
              </w:rPr>
            </w:pPr>
            <w:r>
              <w:rPr>
                <w:sz w:val="22"/>
                <w:szCs w:val="22"/>
              </w:rPr>
              <w:t>Rekrutacja członków</w:t>
            </w:r>
          </w:p>
          <w:p>
            <w:pPr>
              <w:pStyle w:val="ListParagraph"/>
              <w:widowControl w:val="false"/>
              <w:numPr>
                <w:ilvl w:val="0"/>
                <w:numId w:val="38"/>
              </w:numPr>
              <w:suppressAutoHyphens w:val="true"/>
              <w:ind w:left="320" w:hanging="320"/>
              <w:jc w:val="both"/>
              <w:rPr>
                <w:sz w:val="22"/>
                <w:szCs w:val="22"/>
              </w:rPr>
            </w:pPr>
            <w:r>
              <w:rPr>
                <w:sz w:val="22"/>
                <w:szCs w:val="22"/>
              </w:rPr>
              <w:t>Bieżąca działalność LOG</w:t>
            </w:r>
          </w:p>
          <w:p>
            <w:pPr>
              <w:pStyle w:val="ListParagraph"/>
              <w:widowControl w:val="false"/>
              <w:numPr>
                <w:ilvl w:val="0"/>
                <w:numId w:val="38"/>
              </w:numPr>
              <w:suppressAutoHyphens w:val="true"/>
              <w:ind w:left="320" w:hanging="320"/>
              <w:jc w:val="both"/>
              <w:rPr>
                <w:sz w:val="22"/>
                <w:szCs w:val="22"/>
              </w:rPr>
            </w:pPr>
            <w:r>
              <w:rPr>
                <w:sz w:val="22"/>
                <w:szCs w:val="22"/>
              </w:rPr>
              <w:t>Rozwój infrastruktury LOG</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UZASADNIENIE REALIZACJI PROJEKTU: W woj. Kujawsko – pomorskim niedostatecznie i w wąskim zakresie adaptowane są inicjatywy takie jak chociażby Living Labs (http://www.openlivinglabs.eu/), gdzie na poziomie lokalnym tworzy się otwartą przestrzeń do rozwoju mikro przedsiębiorczości (bazując na szerokim partnerstwie jednostek samorządowych i IOB, w ramach European Network of Living Labs, ENoLL) Dodatkowym problemem jest fakt, że wsparcie dotychczas realizowane nie udrażnia kanałów komunikacji instytucji otoczenia biznesu, samorządów i samych przedsiębiorców, którzy w regionach często realizują cele sobie przeciwne. Brakuje modeli współpracy, które gwarantowałyby efekt synergii i w pełnym zakresie wykorzystywały potencjał podmiotów. W zakresie wsparcia przedsiębiorczości samorządy pozostają często na poziomie aktywności oddolnej (czekając najczęściej na inicjatywę) lub prowadzą działania nieskoordynowane.</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ZWIĄZEK Z DIAGNOZĄ: Projekt bezpośrednio związany z diagnozą LPRG. Inicjatywa w postaci LOG stanowi odpowiedź na wskazane w diagnozie problemy i zagrożenia  min. brak systemowej współpracy między poszczególnymi podmiotami gospodarczymi, brak koordynacji działań, słabą pozycję lokalnych instytucji otoczenia biznesu, niedostateczne informowanie przedsiębiorców o istniejących  unijnych źródłach finansowania, niewielkie zainteresowanie MŚP działaniami kooperacyjnymi, brak lokalnych podmiotów ekonomii społecznej.</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POWIĄZANIA Z INNYMI PROJEKTAMI / STRATEGIAMI:</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Strategia Rozwoju Kraju 2020: Projekt wpisuje się w cele Strategii Rozwoju Kraju 2020, Obszar Strategiczny II "Konkurencyjna gospodarka". Poprzez świadczenie specjalistycznych usług proinnowacyjnych na rzecz MŚP, projekt potencjalnie przyczyni się do realizacji następujących celów Strategii: - II.1.4. Rozwój eksportu towarów i usług - II.2.Wzrost wydajności gospodarki - II.2.1. Zwiększenie produktywności gospodarki - II.2.2. Wzrost udziału przemysłów i usług średnio i wysoko zaawansowanych technologicznie - II.3. Zwiększenie innowacyjności gospodarki - II.3.4. Zwiększenie wykorzystania rozwiązań innowacyjnych</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Strategia rozwoju WKP do roku 2020 - Plan modernizacji 2020+: Projekt w bezpośredni sposób przyczynia się do realizacji celów w ramach priorytetu „Konkurencyjna gospodarka”. Realizacja zadań przyczyni się do realizacji celu „Gospodarka i miejsca pracy”, poprzez zwiększenie szans rozwojowych regionalnych przedsiębiorstw z różnych branży (w tym tych z RIS). Jak wskazano w Strategii „Podstawowym i bezpośrednim celem działań projektowanych w ramach celu strategicznego „Gospodarka i miejsca pracy” jest zwiększenie liczby miejsc pracy, a więc ograniczenie bezrobocia poprzez aktywne działania związane z poprawą warunków tworzenia miejsc pracy i zwiększania zatrudnienia, ale celem pośrednim jest także rozwój przedsiębiorczości, rozumiany zarówno jako zwiększanie liczby zarejestrowanych podmiotów, jak i zwiększanie potencjału podmiotów już funkcjonujących.” Zaoferowane usługi w ramach LOG w sposób bezpośredni przyczynią się do zwiększenia potencjału podmiotów już funkcjonujących.</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EFEKTY REALIZACJI</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Produkty:</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Liczba utworzonych LOG: 1</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Liczba przedsiębiorstw wchodzących w skład LOG: 8</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Liczba przedsiębiorstw otrzymujących wsparcie niefinansowe: 20</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Liczba spotkań informacyjnych dla przedsiębiorstw: 5</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Rezultaty:</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Liczba przedsiębiorstw korzystających z usług (nowych</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i/lub ulepszonych) świadczonych przez instytucje otoczenia</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biznesu [szt.] - 20</w:t>
            </w:r>
          </w:p>
        </w:tc>
      </w:tr>
      <w:tr>
        <w:trPr/>
        <w:tc>
          <w:tcPr>
            <w:tcW w:w="25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 xml:space="preserve">Stan przygotowań do realizacji projektu </w:t>
            </w:r>
          </w:p>
        </w:tc>
        <w:tc>
          <w:tcPr>
            <w:tcW w:w="64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 xml:space="preserve">Projekt gotowy do realizacji. Zorganizowano spotkania informacyjne oraz opracowano Statut LOG.  </w:t>
            </w:r>
          </w:p>
        </w:tc>
      </w:tr>
      <w:tr>
        <w:trPr/>
        <w:tc>
          <w:tcPr>
            <w:tcW w:w="25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rPr>
            </w:pPr>
            <w:r>
              <w:rPr>
                <w:rFonts w:eastAsia="Times New Roman" w:cs="Times New Roman" w:ascii="Times New Roman" w:hAnsi="Times New Roman"/>
                <w:lang w:eastAsia="pl-PL"/>
              </w:rPr>
              <w:t>Harmonogram realizacji przedsięwzięcia</w:t>
            </w:r>
          </w:p>
        </w:tc>
        <w:tc>
          <w:tcPr>
            <w:tcW w:w="64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Konsultacje społeczne (III kw 2021)</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Analiza zewnętrznych źródeł finansowania (III kw.2021)</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Inicjowanie tworzenia LOG (IV kw 2021)</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Rekrutacja członków (IV kw 2021)</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Bieżąca działalność LOG (I.2022-IV.2023)</w:t>
            </w:r>
          </w:p>
          <w:p>
            <w:pPr>
              <w:pStyle w:val="Normal"/>
              <w:widowControl w:val="false"/>
              <w:spacing w:lineRule="auto" w:line="240" w:before="0" w:after="0"/>
              <w:jc w:val="both"/>
              <w:rPr>
                <w:rFonts w:ascii="Times New Roman" w:hAnsi="Times New Roman" w:cs="Times New Roman"/>
              </w:rPr>
            </w:pPr>
            <w:r>
              <w:rPr>
                <w:rFonts w:eastAsia="Times New Roman" w:cs="Times New Roman" w:ascii="Times New Roman" w:hAnsi="Times New Roman"/>
                <w:lang w:eastAsia="pl-PL"/>
              </w:rPr>
              <w:t>Rozwój infrastruktury LOG (I.2022-IV.2023)</w:t>
            </w:r>
          </w:p>
        </w:tc>
      </w:tr>
      <w:tr>
        <w:trPr/>
        <w:tc>
          <w:tcPr>
            <w:tcW w:w="25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rPr>
            </w:pPr>
            <w:r>
              <w:rPr>
                <w:rFonts w:eastAsia="Times New Roman" w:cs="Times New Roman" w:ascii="Times New Roman" w:hAnsi="Times New Roman"/>
                <w:lang w:eastAsia="pl-PL"/>
              </w:rPr>
              <w:t>Przewidywany termin rozpoczęcia realizacji projektu</w:t>
            </w:r>
          </w:p>
        </w:tc>
        <w:tc>
          <w:tcPr>
            <w:tcW w:w="64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 xml:space="preserve">III kw 2021 </w:t>
            </w:r>
          </w:p>
        </w:tc>
      </w:tr>
      <w:tr>
        <w:trPr/>
        <w:tc>
          <w:tcPr>
            <w:tcW w:w="25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Przewidywany termin zakończenia realizacji projektu</w:t>
            </w:r>
          </w:p>
        </w:tc>
        <w:tc>
          <w:tcPr>
            <w:tcW w:w="649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 xml:space="preserve">IV kw. 2023 </w:t>
            </w:r>
          </w:p>
        </w:tc>
      </w:tr>
    </w:tbl>
    <w:p>
      <w:pPr>
        <w:pStyle w:val="Nagwek2"/>
        <w:rPr>
          <w:rFonts w:ascii="Times New Roman" w:hAnsi="Times New Roman" w:cs="Times New Roman"/>
          <w:sz w:val="24"/>
          <w:szCs w:val="24"/>
        </w:rPr>
      </w:pPr>
      <w:bookmarkStart w:id="51" w:name="_Toc85228987"/>
      <w:r>
        <w:rPr>
          <w:rFonts w:cs="Times New Roman" w:ascii="Times New Roman" w:hAnsi="Times New Roman"/>
          <w:sz w:val="24"/>
          <w:szCs w:val="24"/>
        </w:rPr>
        <w:t>Projekt 3. Rozwój infrastruktury sportowo - rekreacyjnej</w:t>
      </w:r>
      <w:bookmarkEnd w:id="51"/>
    </w:p>
    <w:p>
      <w:pPr>
        <w:pStyle w:val="Normal"/>
        <w:spacing w:lineRule="auto" w:line="240" w:before="0" w:after="0"/>
        <w:rPr>
          <w:rFonts w:ascii="Times New Roman" w:hAnsi="Times New Roman" w:cs="Times New Roman"/>
        </w:rPr>
      </w:pPr>
      <w:r>
        <w:rPr>
          <w:rFonts w:cs="Times New Roman" w:ascii="Times New Roman" w:hAnsi="Times New Roman"/>
        </w:rPr>
      </w:r>
    </w:p>
    <w:tbl>
      <w:tblPr>
        <w:tblW w:w="9039"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680"/>
        <w:gridCol w:w="5358"/>
      </w:tblGrid>
      <w:tr>
        <w:trPr>
          <w:trHeight w:val="603" w:hRule="atLeast"/>
        </w:trPr>
        <w:tc>
          <w:tcPr>
            <w:tcW w:w="36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Tytuł / Nazwa projektu</w:t>
            </w:r>
          </w:p>
        </w:tc>
        <w:tc>
          <w:tcPr>
            <w:tcW w:w="53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b/>
                <w:b/>
              </w:rPr>
            </w:pPr>
            <w:r>
              <w:rPr>
                <w:rFonts w:cs="Times New Roman" w:ascii="Times New Roman" w:hAnsi="Times New Roman"/>
                <w:b/>
              </w:rPr>
              <w:t>Rozwój infrastruktury sportowo - rekreacyjnej</w:t>
            </w:r>
          </w:p>
        </w:tc>
      </w:tr>
      <w:tr>
        <w:trPr/>
        <w:tc>
          <w:tcPr>
            <w:tcW w:w="36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Podmiot inicjujący / realizujący projekt</w:t>
            </w:r>
          </w:p>
        </w:tc>
        <w:tc>
          <w:tcPr>
            <w:tcW w:w="53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Gmina Choceń</w:t>
            </w:r>
          </w:p>
        </w:tc>
      </w:tr>
      <w:tr>
        <w:trPr/>
        <w:tc>
          <w:tcPr>
            <w:tcW w:w="36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Partnerzy z opisem ich ról / zadań</w:t>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(w przypadku projektu planowanego do realizacji w partnerstwie)</w:t>
            </w:r>
          </w:p>
        </w:tc>
        <w:tc>
          <w:tcPr>
            <w:tcW w:w="53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r>
          </w:p>
        </w:tc>
      </w:tr>
      <w:tr>
        <w:trPr/>
        <w:tc>
          <w:tcPr>
            <w:tcW w:w="36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 xml:space="preserve">Priorytet sektorowy LPRG, w który wpisuje się zgłaszany projekt </w:t>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(jeżeli zgłaszany projekt wpisuje się w kilka priorytetów sektorowych bardzo proszę o ich zaznaczenie wraz z przyporządkowaniem budżetu projektu do każdego z PS)</w:t>
            </w:r>
          </w:p>
        </w:tc>
        <w:tc>
          <w:tcPr>
            <w:tcW w:w="5358" w:type="dxa"/>
            <w:tcBorders>
              <w:top w:val="single" w:sz="4" w:space="0" w:color="000000"/>
              <w:left w:val="single" w:sz="4" w:space="0" w:color="000000"/>
              <w:bottom w:val="single" w:sz="4" w:space="0" w:color="000000"/>
              <w:right w:val="single" w:sz="4" w:space="0" w:color="000000"/>
            </w:tcBorders>
          </w:tcPr>
          <w:p>
            <w:pPr>
              <w:pStyle w:val="ListParagraph"/>
              <w:widowControl w:val="false"/>
              <w:ind w:left="0" w:hanging="0"/>
              <w:jc w:val="both"/>
              <w:rPr>
                <w:sz w:val="22"/>
                <w:szCs w:val="22"/>
              </w:rPr>
            </w:pPr>
            <w:r>
              <w:rPr>
                <w:sz w:val="22"/>
                <w:szCs w:val="22"/>
              </w:rPr>
              <w:t>PS 7 Działania pozainwestycyjne ukierunkowane na rozwój i poprawę konkurencyjności gminy</w:t>
            </w:r>
          </w:p>
        </w:tc>
      </w:tr>
      <w:tr>
        <w:trPr/>
        <w:tc>
          <w:tcPr>
            <w:tcW w:w="36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Cele projektu i ich powiązanie z celami LPRG</w:t>
            </w:r>
          </w:p>
        </w:tc>
        <w:tc>
          <w:tcPr>
            <w:tcW w:w="53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Rozwój infrastruktury sportowo -rekreacyjnej przyczyni się do rozwoju przedsiębiorczości w gminie Choceń</w:t>
            </w:r>
          </w:p>
        </w:tc>
      </w:tr>
      <w:tr>
        <w:trPr/>
        <w:tc>
          <w:tcPr>
            <w:tcW w:w="36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 xml:space="preserve">Koszt całkowity projektu w zł </w:t>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(w rozbiciu na kwotę netto i VAT)</w:t>
            </w:r>
          </w:p>
        </w:tc>
        <w:tc>
          <w:tcPr>
            <w:tcW w:w="53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5 000 000</w:t>
            </w:r>
          </w:p>
        </w:tc>
      </w:tr>
      <w:tr>
        <w:trPr/>
        <w:tc>
          <w:tcPr>
            <w:tcW w:w="36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 xml:space="preserve">Projekt przewidziany do realizacji w ramach RPO </w:t>
            </w:r>
          </w:p>
        </w:tc>
        <w:tc>
          <w:tcPr>
            <w:tcW w:w="53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 xml:space="preserve">Tak / Nie </w:t>
            </w:r>
          </w:p>
        </w:tc>
      </w:tr>
      <w:tr>
        <w:trPr>
          <w:trHeight w:val="1268" w:hRule="atLeast"/>
        </w:trPr>
        <w:tc>
          <w:tcPr>
            <w:tcW w:w="36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Źródła finansowania projektu (w %)</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r>
          </w:p>
        </w:tc>
        <w:tc>
          <w:tcPr>
            <w:tcW w:w="5358"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39"/>
              </w:numPr>
              <w:suppressAutoHyphens w:val="true"/>
              <w:jc w:val="both"/>
              <w:rPr>
                <w:sz w:val="22"/>
                <w:szCs w:val="22"/>
              </w:rPr>
            </w:pPr>
            <w:r>
              <w:rPr>
                <w:sz w:val="22"/>
                <w:szCs w:val="22"/>
              </w:rPr>
              <w:t xml:space="preserve">Środki Regionalnego Programu Operacyjnego </w:t>
            </w:r>
          </w:p>
          <w:p>
            <w:pPr>
              <w:pStyle w:val="ListParagraph"/>
              <w:widowControl w:val="false"/>
              <w:numPr>
                <w:ilvl w:val="0"/>
                <w:numId w:val="39"/>
              </w:numPr>
              <w:suppressAutoHyphens w:val="true"/>
              <w:jc w:val="both"/>
              <w:rPr>
                <w:sz w:val="22"/>
                <w:szCs w:val="22"/>
              </w:rPr>
            </w:pPr>
            <w:r>
              <w:rPr>
                <w:sz w:val="22"/>
                <w:szCs w:val="22"/>
              </w:rPr>
              <w:t xml:space="preserve">Środki rządowe </w:t>
            </w:r>
          </w:p>
          <w:p>
            <w:pPr>
              <w:pStyle w:val="ListParagraph"/>
              <w:widowControl w:val="false"/>
              <w:numPr>
                <w:ilvl w:val="0"/>
                <w:numId w:val="39"/>
              </w:numPr>
              <w:suppressAutoHyphens w:val="true"/>
              <w:jc w:val="both"/>
              <w:rPr>
                <w:sz w:val="22"/>
                <w:szCs w:val="22"/>
              </w:rPr>
            </w:pPr>
            <w:r>
              <w:rPr>
                <w:sz w:val="22"/>
                <w:szCs w:val="22"/>
              </w:rPr>
              <w:t xml:space="preserve">Środki województwa </w:t>
            </w:r>
          </w:p>
          <w:p>
            <w:pPr>
              <w:pStyle w:val="ListParagraph"/>
              <w:widowControl w:val="false"/>
              <w:numPr>
                <w:ilvl w:val="0"/>
                <w:numId w:val="39"/>
              </w:numPr>
              <w:suppressAutoHyphens w:val="true"/>
              <w:jc w:val="both"/>
              <w:rPr>
                <w:sz w:val="22"/>
                <w:szCs w:val="22"/>
              </w:rPr>
            </w:pPr>
            <w:r>
              <w:rPr>
                <w:sz w:val="22"/>
                <w:szCs w:val="22"/>
              </w:rPr>
              <w:t xml:space="preserve">Środki powiatu </w:t>
            </w:r>
          </w:p>
          <w:p>
            <w:pPr>
              <w:pStyle w:val="ListParagraph"/>
              <w:widowControl w:val="false"/>
              <w:numPr>
                <w:ilvl w:val="0"/>
                <w:numId w:val="39"/>
              </w:numPr>
              <w:suppressAutoHyphens w:val="true"/>
              <w:jc w:val="both"/>
              <w:rPr>
                <w:sz w:val="22"/>
                <w:szCs w:val="22"/>
              </w:rPr>
            </w:pPr>
            <w:r>
              <w:rPr>
                <w:sz w:val="22"/>
                <w:szCs w:val="22"/>
              </w:rPr>
              <w:t xml:space="preserve">Środki gminy </w:t>
            </w:r>
          </w:p>
          <w:p>
            <w:pPr>
              <w:pStyle w:val="ListParagraph"/>
              <w:widowControl w:val="false"/>
              <w:numPr>
                <w:ilvl w:val="0"/>
                <w:numId w:val="39"/>
              </w:numPr>
              <w:suppressAutoHyphens w:val="true"/>
              <w:jc w:val="both"/>
              <w:rPr>
                <w:sz w:val="22"/>
                <w:szCs w:val="22"/>
              </w:rPr>
            </w:pPr>
            <w:r>
              <w:rPr>
                <w:sz w:val="22"/>
                <w:szCs w:val="22"/>
              </w:rPr>
              <w:t xml:space="preserve">Środki prywatne </w:t>
            </w:r>
          </w:p>
          <w:p>
            <w:pPr>
              <w:pStyle w:val="ListParagraph"/>
              <w:widowControl w:val="false"/>
              <w:numPr>
                <w:ilvl w:val="0"/>
                <w:numId w:val="39"/>
              </w:numPr>
              <w:suppressAutoHyphens w:val="true"/>
              <w:jc w:val="both"/>
              <w:rPr>
                <w:sz w:val="22"/>
                <w:szCs w:val="22"/>
              </w:rPr>
            </w:pPr>
            <w:r>
              <w:rPr>
                <w:sz w:val="22"/>
                <w:szCs w:val="22"/>
              </w:rPr>
              <w:t xml:space="preserve">Inne (jakie …) </w:t>
            </w:r>
          </w:p>
        </w:tc>
      </w:tr>
      <w:tr>
        <w:trPr>
          <w:trHeight w:val="1267" w:hRule="atLeast"/>
        </w:trPr>
        <w:tc>
          <w:tcPr>
            <w:tcW w:w="36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eastAsia="Times New Roman" w:cs="Times New Roman"/>
                <w:lang w:eastAsia="pl-PL"/>
              </w:rPr>
            </w:pPr>
            <w:r>
              <w:rPr>
                <w:rFonts w:cs="Times New Roman" w:ascii="Times New Roman" w:hAnsi="Times New Roman"/>
              </w:rPr>
              <w:t xml:space="preserve">Występowanie pomocy publicznej w projekcie </w:t>
            </w:r>
          </w:p>
        </w:tc>
        <w:tc>
          <w:tcPr>
            <w:tcW w:w="53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NIE</w:t>
            </w:r>
          </w:p>
        </w:tc>
      </w:tr>
      <w:tr>
        <w:trPr/>
        <w:tc>
          <w:tcPr>
            <w:tcW w:w="36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 xml:space="preserve">Zwięzły opis projektu </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(około 1 strony A4)</w:t>
            </w:r>
          </w:p>
        </w:tc>
        <w:tc>
          <w:tcPr>
            <w:tcW w:w="53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FAZY:</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1/ przygotowanie dokumentacji</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2/ postępowanie przetargowe</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 xml:space="preserve">3/ prace budowlane projektu) </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 xml:space="preserve">Stopień rozwoju infrastruktury  sportowo – rekreacyjnej na obszarze gminy Choceń jest bardzo ważnym czynnikiem w kierunku rozwoju przedsiębiorczości w sektorze turystyki. Budowa krytej pływalni sprawi, że będziemy terenem jeszcze bardziej atrakcyjnym turystycznie. </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 xml:space="preserve">ZWIĄZEK Z DIAGNOZĄ Projekt bezpośrednio związany z diagnozą LPRG. Infrastruktura sportowo rekreacyjna stanowi odpowiedz na problemy i zagrożenia m.in. </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 jesteśmy terenem atrakcyjnym turystycznie jednakże  poprzez położenie nad jeziorem jesteśmy atrakcyjni w okresie letnim w pozostałe miesiące roku następuje stagnacja. Budowa basenu krytego uczyniła by nasz teren atrakcyjnym turystycznie przez cały rok.</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r>
          </w:p>
        </w:tc>
      </w:tr>
      <w:tr>
        <w:trPr/>
        <w:tc>
          <w:tcPr>
            <w:tcW w:w="36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 xml:space="preserve">Stan przygotowań do realizacji projektu </w:t>
            </w:r>
          </w:p>
        </w:tc>
        <w:tc>
          <w:tcPr>
            <w:tcW w:w="53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Projekt w fazie przygotowań</w:t>
            </w:r>
          </w:p>
        </w:tc>
      </w:tr>
      <w:tr>
        <w:trPr/>
        <w:tc>
          <w:tcPr>
            <w:tcW w:w="36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rPr>
            </w:pPr>
            <w:r>
              <w:rPr>
                <w:rFonts w:eastAsia="Times New Roman" w:cs="Times New Roman" w:ascii="Times New Roman" w:hAnsi="Times New Roman"/>
                <w:lang w:eastAsia="pl-PL"/>
              </w:rPr>
              <w:t>Harmonogram realizacji przedsięwzięcia</w:t>
            </w:r>
          </w:p>
        </w:tc>
        <w:tc>
          <w:tcPr>
            <w:tcW w:w="53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I-II 2022 przygotowanie dokumentacji</w:t>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 xml:space="preserve">III postępowanie przetargowe </w:t>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 xml:space="preserve">IV prace budowlane.  </w:t>
            </w:r>
          </w:p>
        </w:tc>
      </w:tr>
      <w:tr>
        <w:trPr/>
        <w:tc>
          <w:tcPr>
            <w:tcW w:w="36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rPr>
            </w:pPr>
            <w:r>
              <w:rPr>
                <w:rFonts w:eastAsia="Times New Roman" w:cs="Times New Roman" w:ascii="Times New Roman" w:hAnsi="Times New Roman"/>
                <w:lang w:eastAsia="pl-PL"/>
              </w:rPr>
              <w:t>Przewidywany termin rozpoczęcia realizacji projektu</w:t>
            </w:r>
          </w:p>
        </w:tc>
        <w:tc>
          <w:tcPr>
            <w:tcW w:w="53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I 2022</w:t>
            </w:r>
          </w:p>
        </w:tc>
      </w:tr>
      <w:tr>
        <w:trPr/>
        <w:tc>
          <w:tcPr>
            <w:tcW w:w="36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Przewidywany termin zakończenia realizacji projektu</w:t>
            </w:r>
          </w:p>
        </w:tc>
        <w:tc>
          <w:tcPr>
            <w:tcW w:w="535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Grudzień 2023</w:t>
            </w:r>
          </w:p>
        </w:tc>
      </w:tr>
    </w:tbl>
    <w:p>
      <w:pPr>
        <w:pStyle w:val="Nagwek2"/>
        <w:rPr>
          <w:rFonts w:ascii="Times New Roman" w:hAnsi="Times New Roman" w:cs="Times New Roman"/>
          <w:sz w:val="24"/>
          <w:szCs w:val="24"/>
        </w:rPr>
      </w:pPr>
      <w:bookmarkStart w:id="52" w:name="_Toc85228988"/>
      <w:r>
        <w:rPr>
          <w:rFonts w:cs="Times New Roman" w:ascii="Times New Roman" w:hAnsi="Times New Roman"/>
          <w:sz w:val="24"/>
          <w:szCs w:val="24"/>
        </w:rPr>
        <w:t>Projekt 4. Promocja samozatrudnienia w gminie Choceń – Punkt wspierania przedsiębiorczości</w:t>
      </w:r>
      <w:bookmarkEnd w:id="52"/>
    </w:p>
    <w:p>
      <w:pPr>
        <w:pStyle w:val="Normal"/>
        <w:spacing w:lineRule="auto" w:line="240" w:before="0" w:after="0"/>
        <w:rPr>
          <w:rFonts w:ascii="Times New Roman" w:hAnsi="Times New Roman" w:cs="Times New Roman"/>
        </w:rPr>
      </w:pPr>
      <w:r>
        <w:rPr>
          <w:rFonts w:cs="Times New Roman" w:ascii="Times New Roman" w:hAnsi="Times New Roman"/>
        </w:rPr>
      </w:r>
    </w:p>
    <w:tbl>
      <w:tblPr>
        <w:tblW w:w="9036" w:type="dxa"/>
        <w:jc w:val="left"/>
        <w:tblInd w:w="0" w:type="dxa"/>
        <w:tblLayout w:type="fixed"/>
        <w:tblCellMar>
          <w:top w:w="0" w:type="dxa"/>
          <w:left w:w="81" w:type="dxa"/>
          <w:bottom w:w="0" w:type="dxa"/>
          <w:right w:w="81" w:type="dxa"/>
        </w:tblCellMar>
        <w:tblLook w:firstRow="1" w:noVBand="1" w:lastRow="0" w:firstColumn="1" w:lastColumn="0" w:noHBand="0" w:val="04a0"/>
      </w:tblPr>
      <w:tblGrid>
        <w:gridCol w:w="3396"/>
        <w:gridCol w:w="5639"/>
      </w:tblGrid>
      <w:tr>
        <w:trPr/>
        <w:tc>
          <w:tcPr>
            <w:tcW w:w="33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Tytuł / Nazwa projektu</w:t>
            </w:r>
          </w:p>
        </w:tc>
        <w:tc>
          <w:tcPr>
            <w:tcW w:w="56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b/>
                <w:b/>
              </w:rPr>
            </w:pPr>
            <w:r>
              <w:rPr>
                <w:rFonts w:cs="Times New Roman" w:ascii="Times New Roman" w:hAnsi="Times New Roman"/>
                <w:b/>
              </w:rPr>
              <w:t xml:space="preserve">Promocja samozatrudnienia w gminie Choceń – Punkt wspierania przedsiębiorczości </w:t>
            </w:r>
          </w:p>
        </w:tc>
      </w:tr>
      <w:tr>
        <w:trPr/>
        <w:tc>
          <w:tcPr>
            <w:tcW w:w="33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Podmiot inicjujący / realizujący projekt</w:t>
            </w:r>
          </w:p>
        </w:tc>
        <w:tc>
          <w:tcPr>
            <w:tcW w:w="56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color w:val="000000" w:themeColor="text1"/>
              </w:rPr>
            </w:pPr>
            <w:r>
              <w:rPr>
                <w:rFonts w:cs="Times New Roman" w:ascii="Times New Roman" w:hAnsi="Times New Roman"/>
                <w:color w:val="000000" w:themeColor="text1"/>
              </w:rPr>
              <w:t>Gmina Choceń</w:t>
            </w:r>
          </w:p>
        </w:tc>
      </w:tr>
      <w:tr>
        <w:trPr/>
        <w:tc>
          <w:tcPr>
            <w:tcW w:w="33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Partnerzy z opisem ich ról / zadań</w:t>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(w przypadku projektu planowanego do realizacji w partnerstwie)</w:t>
            </w:r>
          </w:p>
        </w:tc>
        <w:tc>
          <w:tcPr>
            <w:tcW w:w="56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Tak</w:t>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r>
          </w:p>
          <w:p>
            <w:pPr>
              <w:pStyle w:val="ListParagraph"/>
              <w:widowControl w:val="false"/>
              <w:numPr>
                <w:ilvl w:val="0"/>
                <w:numId w:val="111"/>
              </w:numPr>
              <w:suppressAutoHyphens w:val="true"/>
              <w:jc w:val="both"/>
              <w:rPr>
                <w:sz w:val="22"/>
                <w:szCs w:val="22"/>
              </w:rPr>
            </w:pPr>
            <w:r>
              <w:rPr>
                <w:sz w:val="22"/>
                <w:szCs w:val="22"/>
              </w:rPr>
              <w:t>Instytucje Otoczenia Biznesu z województwa realizujące projekty w zakresie dofinansowania działalności gospodarczej dla osób fizycznych np. Toruńska Agencja Rozwoju Regionalnego S.A., Polskie Towarzystwo Ekonomiczne Odział w Bydgoszczy, Izba Przemysłowo Handlowa w Toruniu, Wyższa Szkoła Gospodarki w Bydgoszcz.</w:t>
            </w:r>
          </w:p>
          <w:p>
            <w:pPr>
              <w:pStyle w:val="ListParagraph"/>
              <w:widowControl w:val="false"/>
              <w:numPr>
                <w:ilvl w:val="0"/>
                <w:numId w:val="112"/>
              </w:numPr>
              <w:suppressAutoHyphens w:val="true"/>
              <w:jc w:val="both"/>
              <w:rPr>
                <w:sz w:val="22"/>
                <w:szCs w:val="22"/>
              </w:rPr>
            </w:pPr>
            <w:r>
              <w:rPr>
                <w:sz w:val="22"/>
                <w:szCs w:val="22"/>
              </w:rPr>
              <w:t>Lokalne Grupy Działania</w:t>
            </w:r>
          </w:p>
          <w:p>
            <w:pPr>
              <w:pStyle w:val="ListParagraph"/>
              <w:widowControl w:val="false"/>
              <w:numPr>
                <w:ilvl w:val="0"/>
                <w:numId w:val="113"/>
              </w:numPr>
              <w:suppressAutoHyphens w:val="true"/>
              <w:jc w:val="both"/>
              <w:rPr>
                <w:sz w:val="22"/>
                <w:szCs w:val="22"/>
              </w:rPr>
            </w:pPr>
            <w:r>
              <w:rPr>
                <w:sz w:val="22"/>
                <w:szCs w:val="22"/>
              </w:rPr>
              <w:t>Powiatowe Urzędy Pracy</w:t>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 xml:space="preserve"> </w:t>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 xml:space="preserve">Rola / zadania: bezpośrednie dofinansowania  tworzenia nowych podmiotów gospodarczych </w:t>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r>
          </w:p>
          <w:p>
            <w:pPr>
              <w:pStyle w:val="ListParagraph"/>
              <w:widowControl w:val="false"/>
              <w:numPr>
                <w:ilvl w:val="0"/>
                <w:numId w:val="114"/>
              </w:numPr>
              <w:suppressAutoHyphens w:val="true"/>
              <w:jc w:val="both"/>
              <w:rPr>
                <w:sz w:val="22"/>
                <w:szCs w:val="22"/>
              </w:rPr>
            </w:pPr>
            <w:r>
              <w:rPr>
                <w:sz w:val="22"/>
                <w:szCs w:val="22"/>
              </w:rPr>
              <w:t>Punkty informacyjne funduszy europejskich</w:t>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Rola / zadania: prowadzenie seminariów informacyjnych w zakresie możliwości pozyskania funduszy europejskich, dostarczanie ulotek i narzędzi promocji</w:t>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r>
          </w:p>
        </w:tc>
      </w:tr>
      <w:tr>
        <w:trPr/>
        <w:tc>
          <w:tcPr>
            <w:tcW w:w="33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 xml:space="preserve">Priorytet sektorowy LPRG, w który wpisuje się zgłaszany projekt </w:t>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(jeżeli zgłaszany projekt wpisuje się w kilka priorytetów sektorowych bardzo proszę o ich zaznaczenie wraz z przyporządkowaniem budżetu projektu do każdego z PS)</w:t>
            </w:r>
          </w:p>
        </w:tc>
        <w:tc>
          <w:tcPr>
            <w:tcW w:w="56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color w:val="000000" w:themeColor="text1"/>
              </w:rPr>
            </w:pPr>
            <w:r>
              <w:rPr>
                <w:rFonts w:cs="Times New Roman" w:ascii="Times New Roman" w:hAnsi="Times New Roman"/>
                <w:color w:val="000000" w:themeColor="text1"/>
              </w:rPr>
              <w:t>PS4. Działania pozainwestycyjne ukierunkowanie na rozwój i poprawę konkurencyjności Instytucji Otoczenia Biznesu</w:t>
            </w:r>
          </w:p>
        </w:tc>
      </w:tr>
      <w:tr>
        <w:trPr/>
        <w:tc>
          <w:tcPr>
            <w:tcW w:w="33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Cele projektu i ich powiązanie z celami LPRG</w:t>
            </w:r>
          </w:p>
        </w:tc>
        <w:tc>
          <w:tcPr>
            <w:tcW w:w="56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color w:val="000000" w:themeColor="text1"/>
              </w:rPr>
            </w:pPr>
            <w:r>
              <w:rPr>
                <w:rFonts w:cs="Times New Roman" w:ascii="Times New Roman" w:hAnsi="Times New Roman"/>
                <w:color w:val="000000" w:themeColor="text1"/>
              </w:rPr>
              <w:t>Promowanie lokalnej przedsiębiorczości poprzez kreowanie warunków do powstawania i rozwoju stabilnych mikro-, małych i średnich przedsiębiorstw z różnych sektorów gospodarki oraz wspieraniu już istniejących firm.</w:t>
            </w:r>
          </w:p>
        </w:tc>
      </w:tr>
      <w:tr>
        <w:trPr/>
        <w:tc>
          <w:tcPr>
            <w:tcW w:w="33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 xml:space="preserve">Koszt całkowity projektu w zł </w:t>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(w rozbiciu na kwotę netto i VAT)</w:t>
            </w:r>
          </w:p>
        </w:tc>
        <w:tc>
          <w:tcPr>
            <w:tcW w:w="56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highlight w:val="yellow"/>
              </w:rPr>
            </w:pPr>
            <w:r>
              <w:rPr>
                <w:rFonts w:cs="Times New Roman" w:ascii="Times New Roman" w:hAnsi="Times New Roman"/>
              </w:rPr>
              <w:t>500.000 PLN</w:t>
            </w:r>
          </w:p>
        </w:tc>
      </w:tr>
      <w:tr>
        <w:trPr/>
        <w:tc>
          <w:tcPr>
            <w:tcW w:w="33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 xml:space="preserve">Projekt przewidziany do realizacji w ramach RPO </w:t>
            </w:r>
          </w:p>
        </w:tc>
        <w:tc>
          <w:tcPr>
            <w:tcW w:w="56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 xml:space="preserve">Tak </w:t>
            </w:r>
          </w:p>
        </w:tc>
      </w:tr>
      <w:tr>
        <w:trPr>
          <w:trHeight w:val="663" w:hRule="atLeast"/>
        </w:trPr>
        <w:tc>
          <w:tcPr>
            <w:tcW w:w="33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Źródła finansowania projektu (w %)</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r>
          </w:p>
        </w:tc>
        <w:tc>
          <w:tcPr>
            <w:tcW w:w="5639"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40"/>
              </w:numPr>
              <w:suppressAutoHyphens w:val="true"/>
              <w:jc w:val="both"/>
              <w:rPr>
                <w:rFonts w:eastAsia="Calibri"/>
                <w:sz w:val="22"/>
                <w:szCs w:val="22"/>
                <w:lang w:eastAsia="en-US"/>
              </w:rPr>
            </w:pPr>
            <w:r>
              <w:rPr>
                <w:sz w:val="22"/>
                <w:szCs w:val="22"/>
              </w:rPr>
              <w:t xml:space="preserve">Środki Regionalnego Programu Operacyjnego </w:t>
            </w:r>
          </w:p>
          <w:p>
            <w:pPr>
              <w:pStyle w:val="ListParagraph"/>
              <w:widowControl w:val="false"/>
              <w:numPr>
                <w:ilvl w:val="0"/>
                <w:numId w:val="40"/>
              </w:numPr>
              <w:suppressAutoHyphens w:val="true"/>
              <w:jc w:val="both"/>
              <w:rPr>
                <w:sz w:val="22"/>
                <w:szCs w:val="22"/>
              </w:rPr>
            </w:pPr>
            <w:r>
              <w:rPr>
                <w:sz w:val="22"/>
                <w:szCs w:val="22"/>
              </w:rPr>
              <w:t xml:space="preserve">Środki z Funduszu Pracy </w:t>
            </w:r>
          </w:p>
          <w:p>
            <w:pPr>
              <w:pStyle w:val="ListParagraph"/>
              <w:widowControl w:val="false"/>
              <w:numPr>
                <w:ilvl w:val="0"/>
                <w:numId w:val="40"/>
              </w:numPr>
              <w:suppressAutoHyphens w:val="true"/>
              <w:jc w:val="both"/>
              <w:rPr>
                <w:sz w:val="22"/>
                <w:szCs w:val="22"/>
              </w:rPr>
            </w:pPr>
            <w:r>
              <w:rPr>
                <w:sz w:val="22"/>
                <w:szCs w:val="22"/>
              </w:rPr>
              <w:t>Środki PFRON</w:t>
            </w:r>
          </w:p>
          <w:p>
            <w:pPr>
              <w:pStyle w:val="ListParagraph"/>
              <w:widowControl w:val="false"/>
              <w:numPr>
                <w:ilvl w:val="0"/>
                <w:numId w:val="40"/>
              </w:numPr>
              <w:suppressAutoHyphens w:val="true"/>
              <w:jc w:val="both"/>
              <w:rPr>
                <w:sz w:val="22"/>
                <w:szCs w:val="22"/>
              </w:rPr>
            </w:pPr>
            <w:r>
              <w:rPr>
                <w:sz w:val="22"/>
                <w:szCs w:val="22"/>
              </w:rPr>
              <w:t>Środki PROW 2021 – 2027</w:t>
            </w:r>
          </w:p>
          <w:p>
            <w:pPr>
              <w:pStyle w:val="ListParagraph"/>
              <w:widowControl w:val="false"/>
              <w:numPr>
                <w:ilvl w:val="0"/>
                <w:numId w:val="40"/>
              </w:numPr>
              <w:suppressAutoHyphens w:val="true"/>
              <w:jc w:val="both"/>
              <w:rPr>
                <w:sz w:val="22"/>
                <w:szCs w:val="22"/>
              </w:rPr>
            </w:pPr>
            <w:r>
              <w:rPr>
                <w:sz w:val="22"/>
                <w:szCs w:val="22"/>
              </w:rPr>
              <w:t>Pomoc Techniczna dla Funduszy Europejskich na lata 2021-2027</w:t>
            </w:r>
          </w:p>
        </w:tc>
      </w:tr>
      <w:tr>
        <w:trPr>
          <w:trHeight w:val="950" w:hRule="atLeast"/>
        </w:trPr>
        <w:tc>
          <w:tcPr>
            <w:tcW w:w="33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eastAsia="Times New Roman" w:cs="Times New Roman"/>
                <w:lang w:eastAsia="pl-PL"/>
              </w:rPr>
            </w:pPr>
            <w:r>
              <w:rPr>
                <w:rFonts w:cs="Times New Roman" w:ascii="Times New Roman" w:hAnsi="Times New Roman"/>
              </w:rPr>
              <w:t xml:space="preserve">Występowanie pomocy publicznej w projekcie </w:t>
            </w:r>
          </w:p>
        </w:tc>
        <w:tc>
          <w:tcPr>
            <w:tcW w:w="56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eastAsia="Calibri" w:cs="Times New Roman"/>
              </w:rPr>
            </w:pPr>
            <w:r>
              <w:rPr>
                <w:rFonts w:cs="Times New Roman" w:ascii="Times New Roman" w:hAnsi="Times New Roman"/>
              </w:rPr>
              <w:t>TAK – Wsparcie bezpośrednie dla MŚP w tym szkoleniowo doradcze może być formą pomocy publicznej (pomocą de minimis). Program pomocowy: Rozporządzenie Ministra Infrastruktury i Rozwoju z dnia 19 marca 2015 r. w sprawie udzielania pomocy de minimis w ramach regionalnych programów operacyjnych na lata 2014-2020 (Dz. U. poz. 488)</w:t>
            </w:r>
          </w:p>
        </w:tc>
      </w:tr>
      <w:tr>
        <w:trPr/>
        <w:tc>
          <w:tcPr>
            <w:tcW w:w="33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 xml:space="preserve">Zwięzły opis projektu </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(około 1 strony A4)</w:t>
            </w:r>
          </w:p>
        </w:tc>
        <w:tc>
          <w:tcPr>
            <w:tcW w:w="56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UZASADNIENIE REALIZACJI PROJEKTU:. W zakresie wsparcia przedsiębiorczości (samozatrudnienia) samorządy pozostają często na poziomie aktywności oddolnej (czekając najczęściej na inicjatywę) lub prowadzą działania nieskoordynowane. Struktura uczestników projektów dotacyjnych wskazuje, że najczęściej są to mieszkańcy dużych aglomeracji (Bydgoszcz, Toruń, Grudziądz, Włocławek), rzadko są to mieszkańcy gmin wiejskich. Analogicznie z środków europejskich na rozwój innowacji w przedsiębiorstwie korzystają najczęściej podmioty z dużych miast. Brak w gminach działań informujących o możliwości samozatrudnienia lub rozwoju obszaru działalności firm już istniejących,</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ZWIĄZEK Z DIAGNOZĄ: Projekt bezpośrednio związany z diagnozą LPRG. Inicjatywa w postaci wsparcia samozatrudnienia  stanowi odpowiedź na wskazane w diagnozie problemy i zagrożenia  min. niedostateczne informowanie przedsiębiorców o istniejących  unijnych źródłach finansowania, niewielkie zainteresowanie mieszkańców perspektywą prowadzenia jednoosobowych działalności gospodarczych</w:t>
            </w:r>
          </w:p>
          <w:p>
            <w:pPr>
              <w:pStyle w:val="Normal"/>
              <w:widowControl w:val="false"/>
              <w:spacing w:lineRule="auto" w:line="240" w:before="0" w:after="0"/>
              <w:rPr>
                <w:rFonts w:ascii="Times New Roman" w:hAnsi="Times New Roman" w:eastAsia="Times New Roman" w:cs="Times New Roman"/>
                <w:color w:val="000000"/>
                <w:lang w:eastAsia="ja-JP"/>
              </w:rPr>
            </w:pPr>
            <w:r>
              <w:rPr>
                <w:rFonts w:eastAsia="Times New Roman" w:cs="Times New Roman" w:ascii="Times New Roman" w:hAnsi="Times New Roman"/>
                <w:color w:val="000000"/>
                <w:lang w:eastAsia="ja-JP"/>
              </w:rPr>
            </w:r>
          </w:p>
          <w:p>
            <w:pPr>
              <w:pStyle w:val="Normal"/>
              <w:widowControl w:val="false"/>
              <w:spacing w:lineRule="auto" w:line="240" w:before="0" w:after="0"/>
              <w:rPr>
                <w:rFonts w:ascii="Times New Roman" w:hAnsi="Times New Roman" w:eastAsia="Times New Roman" w:cs="Times New Roman"/>
                <w:lang w:eastAsia="pl-PL"/>
              </w:rPr>
            </w:pPr>
            <w:r>
              <w:rPr>
                <w:rFonts w:eastAsia="Times New Roman" w:cs="Times New Roman" w:ascii="Times New Roman" w:hAnsi="Times New Roman"/>
                <w:color w:val="000000"/>
                <w:lang w:eastAsia="ja-JP"/>
              </w:rPr>
              <w:t xml:space="preserve">OPIS PROJEKTU: </w:t>
            </w:r>
            <w:r>
              <w:rPr>
                <w:rFonts w:eastAsia="Times New Roman" w:cs="Times New Roman" w:ascii="Times New Roman" w:hAnsi="Times New Roman"/>
                <w:lang w:eastAsia="pl-PL"/>
              </w:rPr>
              <w:t xml:space="preserve">Przewidywana jest realizacja projektu partnerskiego z instytucją otoczenia biznesu mającą doświadczenie w udzielaniu dotacji i dofinansowań. Projekt zakłada udzielenie bezzwrotnych dotacji na uruchomienie działalności gospodarczej, wsparcie pomostowe a wcześniej przeprowadzenie szkoleń, kursów i świadczenie usług doradczych dla nowych firm. (WSPIERANIE SAMOZATRUDNIENIA) </w:t>
            </w:r>
          </w:p>
          <w:p>
            <w:pPr>
              <w:pStyle w:val="Normal"/>
              <w:widowControl w:val="false"/>
              <w:spacing w:lineRule="auto" w:line="240" w:before="0" w:after="0"/>
              <w:rPr>
                <w:rFonts w:ascii="Times New Roman" w:hAnsi="Times New Roman" w:eastAsia="Times New Roman" w:cs="Times New Roman"/>
                <w:lang w:eastAsia="pl-PL"/>
              </w:rPr>
            </w:pPr>
            <w:r>
              <w:rPr>
                <w:rFonts w:eastAsia="Times New Roman" w:cs="Times New Roman" w:ascii="Times New Roman" w:hAnsi="Times New Roman"/>
                <w:lang w:eastAsia="pl-PL"/>
              </w:rPr>
              <w:t>Ponadto w ramach punktu wspierania samozatrudnienia  oferowane będzie min:</w:t>
              <w:br/>
              <w:t>- doradztwo i konsultacje prawne w zakresie zakładania działalności gospodarczej,</w:t>
              <w:br/>
              <w:t>- pomoc w pozyskiwaniu dotacji oraz funduszy na rozpoczęcie i rozwój działalności gospodarczej;</w:t>
            </w:r>
          </w:p>
          <w:p>
            <w:pPr>
              <w:pStyle w:val="Normal"/>
              <w:widowControl w:val="false"/>
              <w:spacing w:lineRule="auto" w:line="240" w:before="0" w:after="0"/>
              <w:rPr>
                <w:rFonts w:ascii="Times New Roman" w:hAnsi="Times New Roman" w:eastAsia="Times New Roman" w:cs="Times New Roman"/>
                <w:lang w:eastAsia="pl-PL"/>
              </w:rPr>
            </w:pPr>
            <w:r>
              <w:rPr>
                <w:rFonts w:eastAsia="Times New Roman" w:cs="Times New Roman" w:ascii="Times New Roman" w:hAnsi="Times New Roman"/>
                <w:lang w:eastAsia="pl-PL"/>
              </w:rPr>
              <w:t>- kursy, szkolenia i warsztaty;</w:t>
            </w:r>
          </w:p>
          <w:p>
            <w:pPr>
              <w:pStyle w:val="Normal"/>
              <w:widowControl w:val="false"/>
              <w:spacing w:lineRule="auto" w:line="240" w:before="0" w:after="0"/>
              <w:rPr>
                <w:rFonts w:ascii="Times New Roman" w:hAnsi="Times New Roman" w:eastAsia="Times New Roman" w:cs="Times New Roman"/>
                <w:lang w:eastAsia="pl-PL"/>
              </w:rPr>
            </w:pPr>
            <w:r>
              <w:rPr>
                <w:rFonts w:eastAsia="Times New Roman" w:cs="Times New Roman" w:ascii="Times New Roman" w:hAnsi="Times New Roman"/>
                <w:lang w:eastAsia="pl-PL"/>
              </w:rPr>
              <w:t>- organizowanie konferencji;</w:t>
            </w:r>
          </w:p>
          <w:p>
            <w:pPr>
              <w:pStyle w:val="Normal"/>
              <w:widowControl w:val="false"/>
              <w:spacing w:lineRule="auto" w:line="240" w:before="0" w:after="0"/>
              <w:rPr>
                <w:rFonts w:ascii="Times New Roman" w:hAnsi="Times New Roman" w:eastAsia="Times New Roman" w:cs="Times New Roman"/>
                <w:lang w:eastAsia="pl-PL"/>
              </w:rPr>
            </w:pPr>
            <w:r>
              <w:rPr>
                <w:rFonts w:eastAsia="Times New Roman" w:cs="Times New Roman" w:ascii="Times New Roman" w:hAnsi="Times New Roman"/>
                <w:lang w:eastAsia="pl-PL"/>
              </w:rPr>
              <w:t>- doradztwo księgowe;</w:t>
            </w:r>
          </w:p>
          <w:p>
            <w:pPr>
              <w:pStyle w:val="Normal"/>
              <w:widowControl w:val="false"/>
              <w:spacing w:lineRule="auto" w:line="240" w:before="0" w:after="0"/>
              <w:rPr>
                <w:rFonts w:ascii="Times New Roman" w:hAnsi="Times New Roman" w:eastAsia="Times New Roman" w:cs="Times New Roman"/>
                <w:lang w:eastAsia="pl-PL"/>
              </w:rPr>
            </w:pPr>
            <w:r>
              <w:rPr>
                <w:rFonts w:eastAsia="Times New Roman" w:cs="Times New Roman" w:ascii="Times New Roman" w:hAnsi="Times New Roman"/>
                <w:lang w:eastAsia="pl-PL"/>
              </w:rPr>
              <w:t>- pomoc w promocji i reklamie dla firm;</w:t>
            </w:r>
          </w:p>
          <w:p>
            <w:pPr>
              <w:pStyle w:val="Normal"/>
              <w:widowControl w:val="false"/>
              <w:spacing w:lineRule="auto" w:line="240" w:before="0" w:after="0"/>
              <w:rPr>
                <w:rFonts w:ascii="Times New Roman" w:hAnsi="Times New Roman" w:eastAsia="Times New Roman" w:cs="Times New Roman"/>
                <w:lang w:eastAsia="pl-PL"/>
              </w:rPr>
            </w:pPr>
            <w:r>
              <w:rPr>
                <w:rFonts w:eastAsia="Times New Roman" w:cs="Times New Roman" w:ascii="Times New Roman" w:hAnsi="Times New Roman"/>
                <w:lang w:eastAsia="pl-PL"/>
              </w:rPr>
              <w:t>- doradztwo biznesowe, itp.</w:t>
            </w:r>
          </w:p>
          <w:p>
            <w:pPr>
              <w:pStyle w:val="Normal"/>
              <w:widowControl w:val="false"/>
              <w:spacing w:lineRule="auto" w:line="240" w:before="0" w:after="0"/>
              <w:rPr>
                <w:rFonts w:ascii="Times New Roman" w:hAnsi="Times New Roman" w:eastAsia="Times New Roman" w:cs="Times New Roman"/>
                <w:lang w:eastAsia="pl-PL"/>
              </w:rPr>
            </w:pPr>
            <w:r>
              <w:rPr>
                <w:rFonts w:eastAsia="Times New Roman" w:cs="Times New Roman" w:ascii="Times New Roman" w:hAnsi="Times New Roman"/>
                <w:lang w:eastAsia="pl-PL"/>
              </w:rPr>
              <w:t>Przewidujemy przeprowadzenie szkoleń np. „Jak założyć własną firmę?”, „ABC przedsiębiorczości”, „Podstawy księgowości”, „Nowoczesne modele biznesowe”, „Modele zarządzania mikro i małym przedsiębiorstwem”, itp.. (DZIAŁANIA SZKOLENIOWO – DORADCZE)</w:t>
            </w:r>
          </w:p>
          <w:p>
            <w:pPr>
              <w:pStyle w:val="Normal"/>
              <w:widowControl w:val="false"/>
              <w:spacing w:lineRule="auto" w:line="240" w:before="0" w:after="0"/>
              <w:rPr>
                <w:rFonts w:ascii="Times New Roman" w:hAnsi="Times New Roman" w:eastAsia="Times New Roman" w:cs="Times New Roman"/>
                <w:color w:val="000000"/>
                <w:lang w:eastAsia="ja-JP"/>
              </w:rPr>
            </w:pPr>
            <w:r>
              <w:rPr>
                <w:rFonts w:eastAsia="Times New Roman" w:cs="Times New Roman" w:ascii="Times New Roman" w:hAnsi="Times New Roman"/>
                <w:color w:val="000000"/>
                <w:lang w:eastAsia="ja-JP"/>
              </w:rPr>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EFEKTY REALIZACJI</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Produkty:</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Liczba utworzonych Punktów wspierania samozatrudnienia: 1</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Liczba przedsiębiorstw (JDG) otrzymujących wsparcie niefinansowe w ramach punktu : 20</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Liczba spotkań informacyjnych dla przedsiębiorstw: 10</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Rezultaty:</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Liczba przedsiębiorstw utworzonych dzięki wsparciu Punktu: 20</w:t>
            </w:r>
          </w:p>
          <w:p>
            <w:pPr>
              <w:pStyle w:val="Normal"/>
              <w:widowControl w:val="false"/>
              <w:spacing w:lineRule="auto" w:line="240" w:before="0" w:after="0"/>
              <w:jc w:val="both"/>
              <w:rPr>
                <w:rFonts w:ascii="Times New Roman" w:hAnsi="Times New Roman" w:eastAsia="Times New Roman" w:cs="Times New Roman"/>
                <w:color w:val="000000"/>
                <w:lang w:eastAsia="ja-JP"/>
              </w:rPr>
            </w:pPr>
            <w:r>
              <w:rPr>
                <w:rFonts w:eastAsia="Times New Roman" w:cs="Times New Roman" w:ascii="Times New Roman" w:hAnsi="Times New Roman"/>
                <w:color w:val="000000"/>
                <w:lang w:eastAsia="ja-JP"/>
              </w:rPr>
              <w:t>Liczba przedsiębiorstw już istniejących, które otrzymały wsparcie / dotację: 10</w:t>
            </w:r>
          </w:p>
        </w:tc>
      </w:tr>
      <w:tr>
        <w:trPr/>
        <w:tc>
          <w:tcPr>
            <w:tcW w:w="33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 xml:space="preserve">Stan przygotowań do realizacji projektu </w:t>
            </w:r>
          </w:p>
        </w:tc>
        <w:tc>
          <w:tcPr>
            <w:tcW w:w="56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eastAsia="Calibri" w:cs="Times New Roman"/>
              </w:rPr>
            </w:pPr>
            <w:r>
              <w:rPr>
                <w:rFonts w:cs="Times New Roman" w:ascii="Times New Roman" w:hAnsi="Times New Roman"/>
              </w:rPr>
              <w:t>Projekt gotowy do realizacji w Partnerstwie z IOB lub inną instytucją pomocową (np. LGD, PUP, UM)</w:t>
            </w:r>
          </w:p>
        </w:tc>
      </w:tr>
      <w:tr>
        <w:trPr/>
        <w:tc>
          <w:tcPr>
            <w:tcW w:w="33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eastAsia="Times New Roman" w:cs="Times New Roman" w:ascii="Times New Roman" w:hAnsi="Times New Roman"/>
                <w:lang w:eastAsia="pl-PL"/>
              </w:rPr>
              <w:t>Harmonogram realizacji przedsięwzięcia</w:t>
            </w:r>
          </w:p>
        </w:tc>
        <w:tc>
          <w:tcPr>
            <w:tcW w:w="56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Analiza zewnętrznych źródeł finansowania (IV kw.2021)</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Rekrutacja I kw 2022</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Bieżąca działalność punktu (I.2022-IV.2023)</w:t>
            </w:r>
          </w:p>
        </w:tc>
      </w:tr>
      <w:tr>
        <w:trPr/>
        <w:tc>
          <w:tcPr>
            <w:tcW w:w="33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eastAsia="Calibri" w:cs="Times New Roman"/>
              </w:rPr>
            </w:pPr>
            <w:r>
              <w:rPr>
                <w:rFonts w:eastAsia="Times New Roman" w:cs="Times New Roman" w:ascii="Times New Roman" w:hAnsi="Times New Roman"/>
                <w:lang w:eastAsia="pl-PL"/>
              </w:rPr>
              <w:t>Przewidywany termin rozpoczęcia realizacji projektu</w:t>
            </w:r>
          </w:p>
        </w:tc>
        <w:tc>
          <w:tcPr>
            <w:tcW w:w="56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listopad 2021</w:t>
            </w:r>
          </w:p>
        </w:tc>
      </w:tr>
      <w:tr>
        <w:trPr/>
        <w:tc>
          <w:tcPr>
            <w:tcW w:w="33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Przewidywany termin zakończenia realizacji projektu</w:t>
            </w:r>
          </w:p>
        </w:tc>
        <w:tc>
          <w:tcPr>
            <w:tcW w:w="563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eastAsia="Calibri" w:cs="Times New Roman"/>
              </w:rPr>
            </w:pPr>
            <w:r>
              <w:rPr>
                <w:rFonts w:cs="Times New Roman" w:ascii="Times New Roman" w:hAnsi="Times New Roman"/>
              </w:rPr>
              <w:t>grudzień 2023</w:t>
            </w:r>
          </w:p>
        </w:tc>
      </w:tr>
    </w:tbl>
    <w:p>
      <w:pPr>
        <w:pStyle w:val="Normal"/>
        <w:spacing w:lineRule="auto" w:line="240" w:before="0" w:after="0"/>
        <w:rPr>
          <w:rFonts w:ascii="Times New Roman" w:hAnsi="Times New Roman" w:cs="Times New Roman"/>
        </w:rPr>
      </w:pPr>
      <w:r>
        <w:rPr>
          <w:rFonts w:cs="Times New Roman" w:ascii="Times New Roman" w:hAnsi="Times New Roman"/>
        </w:rPr>
      </w:r>
    </w:p>
    <w:p>
      <w:pPr>
        <w:pStyle w:val="Nagwek2"/>
        <w:rPr>
          <w:rFonts w:ascii="Times New Roman" w:hAnsi="Times New Roman" w:cs="Times New Roman"/>
          <w:sz w:val="24"/>
          <w:szCs w:val="24"/>
        </w:rPr>
      </w:pPr>
      <w:bookmarkStart w:id="53" w:name="_Toc85228989"/>
      <w:r>
        <w:rPr>
          <w:rFonts w:cs="Times New Roman" w:ascii="Times New Roman" w:hAnsi="Times New Roman"/>
          <w:sz w:val="24"/>
          <w:szCs w:val="24"/>
        </w:rPr>
        <w:t>Projekt 5. Wspierania kształcenia dostosowanego do potrzeb lokalnego rynku</w:t>
      </w:r>
      <w:bookmarkEnd w:id="53"/>
    </w:p>
    <w:p>
      <w:pPr>
        <w:pStyle w:val="Normal"/>
        <w:spacing w:lineRule="auto" w:line="240" w:before="0" w:after="0"/>
        <w:jc w:val="both"/>
        <w:rPr>
          <w:rFonts w:ascii="Times New Roman" w:hAnsi="Times New Roman" w:cs="Times New Roman"/>
          <w:b/>
          <w:b/>
          <w:bCs/>
        </w:rPr>
      </w:pPr>
      <w:r>
        <w:rPr>
          <w:rFonts w:cs="Times New Roman" w:ascii="Times New Roman" w:hAnsi="Times New Roman"/>
          <w:b/>
          <w:bCs/>
        </w:rPr>
      </w:r>
    </w:p>
    <w:tbl>
      <w:tblPr>
        <w:tblW w:w="9039"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395"/>
        <w:gridCol w:w="5643"/>
      </w:tblGrid>
      <w:tr>
        <w:trPr/>
        <w:tc>
          <w:tcPr>
            <w:tcW w:w="3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Tytuł / Nazwa projektu</w:t>
            </w:r>
          </w:p>
        </w:tc>
        <w:tc>
          <w:tcPr>
            <w:tcW w:w="56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b/>
                <w:b/>
              </w:rPr>
            </w:pPr>
            <w:r>
              <w:rPr>
                <w:rFonts w:cs="Times New Roman" w:ascii="Times New Roman" w:hAnsi="Times New Roman"/>
                <w:b/>
              </w:rPr>
              <w:t>Wspierania kształcenia dostosowanego do potrzeb lokalnego rynku</w:t>
            </w:r>
          </w:p>
        </w:tc>
      </w:tr>
      <w:tr>
        <w:trPr/>
        <w:tc>
          <w:tcPr>
            <w:tcW w:w="3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Podmiot inicjujący / realizujący projekt</w:t>
            </w:r>
          </w:p>
        </w:tc>
        <w:tc>
          <w:tcPr>
            <w:tcW w:w="56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Gmina Choceń</w:t>
            </w:r>
          </w:p>
        </w:tc>
      </w:tr>
      <w:tr>
        <w:trPr/>
        <w:tc>
          <w:tcPr>
            <w:tcW w:w="3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Partnerzy z opisem ich ról / zadań</w:t>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(w przypadku projektu planowanego do realizacji w partnerstwie)</w:t>
            </w:r>
          </w:p>
        </w:tc>
        <w:tc>
          <w:tcPr>
            <w:tcW w:w="56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Szkoła branżowa w Choceniu</w:t>
            </w:r>
          </w:p>
        </w:tc>
      </w:tr>
      <w:tr>
        <w:trPr/>
        <w:tc>
          <w:tcPr>
            <w:tcW w:w="3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 xml:space="preserve">Priorytet sektorowy LPRG, w który wpisuje się zgłaszany projekt </w:t>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(jeżeli zgłaszany projekt wpisuje się w kilka priorytetów sektorowych bardzo proszę o ich zaznaczenie wraz z przyporządkowaniem budżetu projektu do każdego z PS)</w:t>
            </w:r>
          </w:p>
        </w:tc>
        <w:tc>
          <w:tcPr>
            <w:tcW w:w="5643" w:type="dxa"/>
            <w:tcBorders>
              <w:top w:val="single" w:sz="4" w:space="0" w:color="000000"/>
              <w:left w:val="single" w:sz="4" w:space="0" w:color="000000"/>
              <w:bottom w:val="single" w:sz="4" w:space="0" w:color="000000"/>
              <w:right w:val="single" w:sz="4" w:space="0" w:color="000000"/>
            </w:tcBorders>
          </w:tcPr>
          <w:p>
            <w:pPr>
              <w:pStyle w:val="ListParagraph"/>
              <w:widowControl w:val="false"/>
              <w:ind w:left="0" w:hanging="0"/>
              <w:jc w:val="both"/>
              <w:rPr>
                <w:sz w:val="22"/>
                <w:szCs w:val="22"/>
              </w:rPr>
            </w:pPr>
            <w:r>
              <w:rPr>
                <w:sz w:val="22"/>
                <w:szCs w:val="22"/>
              </w:rPr>
              <w:t>PS2 Działania pozainwestycyjne ukierunkowane na rozwój i poprawę konkurencyjności MŚP</w:t>
            </w:r>
          </w:p>
        </w:tc>
      </w:tr>
      <w:tr>
        <w:trPr/>
        <w:tc>
          <w:tcPr>
            <w:tcW w:w="3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Cele projektu i ich powiązanie z celami LPRG</w:t>
            </w:r>
          </w:p>
        </w:tc>
        <w:tc>
          <w:tcPr>
            <w:tcW w:w="56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Celem projektu jest dostosowanie kształcenia w szkołach ponadpodstawowych do potrzeb pracodawców. Poprawa jakości nauczania</w:t>
            </w:r>
          </w:p>
        </w:tc>
      </w:tr>
      <w:tr>
        <w:trPr/>
        <w:tc>
          <w:tcPr>
            <w:tcW w:w="3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 xml:space="preserve">Koszt całkowity projektu w zł </w:t>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(w rozbiciu na kwotę netto i VAT)</w:t>
            </w:r>
          </w:p>
        </w:tc>
        <w:tc>
          <w:tcPr>
            <w:tcW w:w="56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150 000</w:t>
            </w:r>
          </w:p>
        </w:tc>
      </w:tr>
      <w:tr>
        <w:trPr/>
        <w:tc>
          <w:tcPr>
            <w:tcW w:w="3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 xml:space="preserve">Projekt przewidziany do realizacji w ramach RPO </w:t>
            </w:r>
          </w:p>
        </w:tc>
        <w:tc>
          <w:tcPr>
            <w:tcW w:w="56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TAK</w:t>
            </w:r>
          </w:p>
        </w:tc>
      </w:tr>
      <w:tr>
        <w:trPr>
          <w:trHeight w:val="1268" w:hRule="atLeast"/>
        </w:trPr>
        <w:tc>
          <w:tcPr>
            <w:tcW w:w="3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Źródła finansowania projektu (w %)</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r>
          </w:p>
        </w:tc>
        <w:tc>
          <w:tcPr>
            <w:tcW w:w="5643" w:type="dxa"/>
            <w:tcBorders>
              <w:top w:val="single" w:sz="4" w:space="0" w:color="000000"/>
              <w:left w:val="single" w:sz="4" w:space="0" w:color="000000"/>
              <w:bottom w:val="single" w:sz="4" w:space="0" w:color="000000"/>
              <w:right w:val="single" w:sz="4" w:space="0" w:color="000000"/>
            </w:tcBorders>
          </w:tcPr>
          <w:p>
            <w:pPr>
              <w:pStyle w:val="ListParagraph"/>
              <w:widowControl w:val="false"/>
              <w:ind w:left="0" w:hanging="0"/>
              <w:jc w:val="both"/>
              <w:rPr>
                <w:sz w:val="22"/>
                <w:szCs w:val="22"/>
              </w:rPr>
            </w:pPr>
            <w:r>
              <w:rPr>
                <w:sz w:val="22"/>
                <w:szCs w:val="22"/>
              </w:rPr>
              <w:t>- Środki RPO</w:t>
            </w:r>
          </w:p>
        </w:tc>
      </w:tr>
      <w:tr>
        <w:trPr>
          <w:trHeight w:val="1267" w:hRule="atLeast"/>
        </w:trPr>
        <w:tc>
          <w:tcPr>
            <w:tcW w:w="3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eastAsia="Times New Roman" w:cs="Times New Roman"/>
                <w:lang w:eastAsia="pl-PL"/>
              </w:rPr>
            </w:pPr>
            <w:r>
              <w:rPr>
                <w:rFonts w:cs="Times New Roman" w:ascii="Times New Roman" w:hAnsi="Times New Roman"/>
              </w:rPr>
              <w:t xml:space="preserve">Występowanie pomocy publicznej w projekcie </w:t>
            </w:r>
          </w:p>
        </w:tc>
        <w:tc>
          <w:tcPr>
            <w:tcW w:w="56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NIE</w:t>
            </w:r>
          </w:p>
        </w:tc>
      </w:tr>
      <w:tr>
        <w:trPr/>
        <w:tc>
          <w:tcPr>
            <w:tcW w:w="3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 xml:space="preserve">Zwięzły opis projektu </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(około 1 strony A4)</w:t>
            </w:r>
          </w:p>
        </w:tc>
        <w:tc>
          <w:tcPr>
            <w:tcW w:w="56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 xml:space="preserve">Projekt ma na celu przygotowanie młodych ludzi do większej samodzielności i aktywności zawodowej na rynku pracy a także znajomości aktualnego rynku pracy. Dzisiejszy elastyczny rynek pracy wymaga od potencjalnych pracowników nie tylko dobrego przygotowania do zawodu ale również umiejętności i chęci kształcenia się  w zawodzie często do gotowości jego zmiany a także do samozatrudnienia. Celem projektu jest propagowanie kształcenia zawodowego  zgodnego z predyspozycjami personalnymi uczniów. </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 xml:space="preserve">Projekt zakłada </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 wycieczki do instytucji, zakładów pracy w celu zapoznania się z nowymi technologiami  oraz specyfiką zawodu</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 wyjazd na targi motoryzacyjne z udziałem pracodawców</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 warsztaty dla kucharzy u pracodawców</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 szkolenia dla fryzjerów wzbogacenie warsztatu pracy o nowe umiejętności np. szkolenia kosmetyczne</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 warsztaty dla pracodawców- edukacja prawna w zakresie zatrudniania młodocianych pracowników</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ZWIĄZEK Z DIAGNOZĄ Projekt bezpośrednio związany z diagnozą LPRG. Kształcenie młodzieży dostosowane do zapotrzebowania lokalnych przedsiębiorców sprawi, że część młodych ludzi pozostanie w naszej gminie i będzie potencjalnymi pracownikami z przygotowaniem do zawodu.</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Liczba szkół biorących udział w projekcie :1</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Liczba młodocianych pracowników objętych projektem :81</w:t>
            </w:r>
          </w:p>
        </w:tc>
      </w:tr>
      <w:tr>
        <w:trPr/>
        <w:tc>
          <w:tcPr>
            <w:tcW w:w="3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 xml:space="preserve">Stan przygotowań do realizacji projektu </w:t>
            </w:r>
          </w:p>
        </w:tc>
        <w:tc>
          <w:tcPr>
            <w:tcW w:w="56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Projekt w fazie przygotowań.</w:t>
            </w:r>
          </w:p>
        </w:tc>
      </w:tr>
      <w:tr>
        <w:trPr/>
        <w:tc>
          <w:tcPr>
            <w:tcW w:w="3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rPr>
            </w:pPr>
            <w:r>
              <w:rPr>
                <w:rFonts w:eastAsia="Times New Roman" w:cs="Times New Roman" w:ascii="Times New Roman" w:hAnsi="Times New Roman"/>
                <w:lang w:eastAsia="pl-PL"/>
              </w:rPr>
              <w:t>Harmonogram realizacji przedsięwzięcia</w:t>
            </w:r>
          </w:p>
        </w:tc>
        <w:tc>
          <w:tcPr>
            <w:tcW w:w="56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Projekt będzie obejmował młodocianych pracowników klas 1-3, wprowadzanie godzin edukacyjno -zawodoznawczych. Na tą chwile w szkole branżowej w gminie Choceń naukę pobiera 81 młodocianych pracowników.</w:t>
            </w:r>
          </w:p>
        </w:tc>
      </w:tr>
      <w:tr>
        <w:trPr/>
        <w:tc>
          <w:tcPr>
            <w:tcW w:w="3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rPr>
            </w:pPr>
            <w:r>
              <w:rPr>
                <w:rFonts w:eastAsia="Times New Roman" w:cs="Times New Roman" w:ascii="Times New Roman" w:hAnsi="Times New Roman"/>
                <w:lang w:eastAsia="pl-PL"/>
              </w:rPr>
              <w:t>Przewidywany termin rozpoczęcia realizacji projektu</w:t>
            </w:r>
          </w:p>
        </w:tc>
        <w:tc>
          <w:tcPr>
            <w:tcW w:w="56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I kwartał 2022</w:t>
            </w:r>
          </w:p>
        </w:tc>
      </w:tr>
      <w:tr>
        <w:trPr/>
        <w:tc>
          <w:tcPr>
            <w:tcW w:w="339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Przewidywany termin zakończenia realizacji projektu</w:t>
            </w:r>
          </w:p>
        </w:tc>
        <w:tc>
          <w:tcPr>
            <w:tcW w:w="56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eastAsia="Calibri" w:cs="Times New Roman" w:ascii="Times New Roman" w:hAnsi="Times New Roman"/>
              </w:rPr>
              <w:t>grudzień 2023</w:t>
            </w:r>
          </w:p>
        </w:tc>
      </w:tr>
    </w:tbl>
    <w:p>
      <w:pPr>
        <w:pStyle w:val="Normal"/>
        <w:spacing w:lineRule="auto" w:line="240" w:before="0" w:after="0"/>
        <w:rPr>
          <w:rFonts w:ascii="Times New Roman" w:hAnsi="Times New Roman" w:cs="Times New Roman"/>
        </w:rPr>
      </w:pPr>
      <w:r>
        <w:rPr>
          <w:rFonts w:cs="Times New Roman" w:ascii="Times New Roman" w:hAnsi="Times New Roman"/>
        </w:rPr>
      </w:r>
    </w:p>
    <w:p>
      <w:pPr>
        <w:pStyle w:val="Nagwek2"/>
        <w:rPr>
          <w:rFonts w:ascii="Times New Roman" w:hAnsi="Times New Roman" w:cs="Times New Roman"/>
          <w:sz w:val="24"/>
          <w:szCs w:val="24"/>
        </w:rPr>
      </w:pPr>
      <w:bookmarkStart w:id="54" w:name="_Toc85228990"/>
      <w:r>
        <w:rPr>
          <w:rFonts w:cs="Times New Roman" w:ascii="Times New Roman" w:hAnsi="Times New Roman"/>
          <w:sz w:val="24"/>
          <w:szCs w:val="24"/>
        </w:rPr>
        <w:t>Projekt 6. Rozwój infrastruktury wodno-ściekowej na terenie gminy Choceń</w:t>
      </w:r>
      <w:bookmarkEnd w:id="54"/>
    </w:p>
    <w:p>
      <w:pPr>
        <w:pStyle w:val="Normal"/>
        <w:spacing w:lineRule="auto" w:line="240" w:before="0" w:after="0"/>
        <w:rPr>
          <w:rFonts w:ascii="Times New Roman" w:hAnsi="Times New Roman" w:cs="Times New Roman"/>
        </w:rPr>
      </w:pPr>
      <w:r>
        <w:rPr>
          <w:rFonts w:cs="Times New Roman" w:ascii="Times New Roman" w:hAnsi="Times New Roman"/>
        </w:rPr>
      </w:r>
    </w:p>
    <w:tbl>
      <w:tblPr>
        <w:tblW w:w="9039"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254"/>
        <w:gridCol w:w="5784"/>
      </w:tblGrid>
      <w:tr>
        <w:trPr/>
        <w:tc>
          <w:tcPr>
            <w:tcW w:w="32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center"/>
              <w:rPr>
                <w:rFonts w:ascii="Times New Roman" w:hAnsi="Times New Roman" w:cs="Times New Roman"/>
              </w:rPr>
            </w:pPr>
            <w:r>
              <w:rPr>
                <w:rFonts w:cs="Times New Roman" w:ascii="Times New Roman" w:hAnsi="Times New Roman"/>
              </w:rPr>
              <w:t>Tytuł/ Nazwa projektu</w:t>
            </w:r>
          </w:p>
        </w:tc>
        <w:tc>
          <w:tcPr>
            <w:tcW w:w="578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cs="Times New Roman"/>
                <w:b/>
                <w:b/>
              </w:rPr>
            </w:pPr>
            <w:r>
              <w:rPr>
                <w:rFonts w:cs="Times New Roman" w:ascii="Times New Roman" w:hAnsi="Times New Roman"/>
                <w:b/>
              </w:rPr>
              <w:t>Rozwój infrastruktury wodno-ściekowej na terenie gminy Choceń</w:t>
            </w:r>
          </w:p>
        </w:tc>
      </w:tr>
      <w:tr>
        <w:trPr>
          <w:trHeight w:val="228" w:hRule="atLeast"/>
        </w:trPr>
        <w:tc>
          <w:tcPr>
            <w:tcW w:w="32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Podmiot inicjujący / realizujący projekt</w:t>
            </w:r>
          </w:p>
        </w:tc>
        <w:tc>
          <w:tcPr>
            <w:tcW w:w="578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Urząd Gminy Choceń</w:t>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r>
          </w:p>
        </w:tc>
      </w:tr>
      <w:tr>
        <w:trPr/>
        <w:tc>
          <w:tcPr>
            <w:tcW w:w="32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Partnerzy z opisem ich ról / zadań</w:t>
            </w:r>
          </w:p>
        </w:tc>
        <w:tc>
          <w:tcPr>
            <w:tcW w:w="578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Brak</w:t>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r>
          </w:p>
        </w:tc>
      </w:tr>
      <w:tr>
        <w:trPr/>
        <w:tc>
          <w:tcPr>
            <w:tcW w:w="32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 xml:space="preserve">Cele projektu i powiązanie z celami LPRG </w:t>
            </w:r>
          </w:p>
        </w:tc>
        <w:tc>
          <w:tcPr>
            <w:tcW w:w="578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PS1. Działania inwestycyjne ukierunkowanie na rozwój i poprawę konkurencyjności MSP</w:t>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Rozwój gospodarczy gminy uzależniony jest od wielu czynników, z których jednym z ważniejszych jest stan infrastruktury wodno-ściekowej. Oddziałuje ona bowiem na funkcjonowanie wszystkich elementów gospodarczych. Ma istotny wpływ na kształtowanie kosztów inwestycyjnych lokalnego rozwoju. Przedsiębiorcy zdecydowanie chętniej lokalizują swoje zakłady czy fabryki na terenach uzbrojonych w dostęp do wody oraz kanalizację, niż na obszarach pozbawionych takich instalacji. Tworzenie przedsiębiorstw w rejonach nieposiadających rozwiniętej infrastruktury technicznej wiąże się z nakładem dodatkowych kosztów, co zniechęca do lokalizowania tam przedsiębiorstw.</w:t>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Rewitalizacja Stacji Uzdatniania Wody w Czerniewicach oraz  wymiana infrastruktury wodociągowej ze stalowej na rury PE-PCV. działania  pozwolą na poprawę jakości wody a także poprawę gospodarki wodnej, przez co ułatwi funkcjonowanie mieszkańcom, jak również przedsiębiorcom, którzy prowadzą działalność na terenie Gminy Choceń.</w:t>
            </w:r>
          </w:p>
        </w:tc>
      </w:tr>
      <w:tr>
        <w:trPr>
          <w:trHeight w:val="338" w:hRule="atLeast"/>
        </w:trPr>
        <w:tc>
          <w:tcPr>
            <w:tcW w:w="32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Koszt całkowity projektu w zł</w:t>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r>
          </w:p>
        </w:tc>
        <w:tc>
          <w:tcPr>
            <w:tcW w:w="578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4 000 000</w:t>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r>
          </w:p>
        </w:tc>
      </w:tr>
      <w:tr>
        <w:trPr/>
        <w:tc>
          <w:tcPr>
            <w:tcW w:w="32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 xml:space="preserve">Projekt przewidziany do realizacji w ramach RPO </w:t>
            </w:r>
          </w:p>
        </w:tc>
        <w:tc>
          <w:tcPr>
            <w:tcW w:w="578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 xml:space="preserve">Tak / Nie </w:t>
            </w:r>
          </w:p>
        </w:tc>
      </w:tr>
      <w:tr>
        <w:trPr>
          <w:trHeight w:val="424" w:hRule="atLeast"/>
        </w:trPr>
        <w:tc>
          <w:tcPr>
            <w:tcW w:w="32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Źródła finansowania projektu (w %)</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r>
          </w:p>
        </w:tc>
        <w:tc>
          <w:tcPr>
            <w:tcW w:w="5784" w:type="dxa"/>
            <w:tcBorders>
              <w:top w:val="single" w:sz="4" w:space="0" w:color="000000"/>
              <w:left w:val="single" w:sz="4" w:space="0" w:color="000000"/>
              <w:bottom w:val="single" w:sz="4" w:space="0" w:color="000000"/>
              <w:right w:val="single" w:sz="4" w:space="0" w:color="000000"/>
            </w:tcBorders>
          </w:tcPr>
          <w:p>
            <w:pPr>
              <w:pStyle w:val="ListParagraph"/>
              <w:widowControl w:val="false"/>
              <w:numPr>
                <w:ilvl w:val="0"/>
                <w:numId w:val="41"/>
              </w:numPr>
              <w:suppressAutoHyphens w:val="true"/>
              <w:jc w:val="both"/>
              <w:rPr>
                <w:sz w:val="22"/>
                <w:szCs w:val="22"/>
              </w:rPr>
            </w:pPr>
            <w:r>
              <w:rPr>
                <w:sz w:val="22"/>
                <w:szCs w:val="22"/>
              </w:rPr>
              <w:t xml:space="preserve">Środki RPO </w:t>
            </w:r>
          </w:p>
          <w:p>
            <w:pPr>
              <w:pStyle w:val="ListParagraph"/>
              <w:widowControl w:val="false"/>
              <w:numPr>
                <w:ilvl w:val="0"/>
                <w:numId w:val="41"/>
              </w:numPr>
              <w:suppressAutoHyphens w:val="true"/>
              <w:jc w:val="both"/>
              <w:rPr>
                <w:b/>
                <w:b/>
                <w:sz w:val="22"/>
                <w:szCs w:val="22"/>
              </w:rPr>
            </w:pPr>
            <w:r>
              <w:rPr>
                <w:sz w:val="22"/>
                <w:szCs w:val="22"/>
              </w:rPr>
              <w:t>Fundusze Europejskie na Infrastrukturę, Klimat, Środowisko na lata 2021-2027 (FEnIKS)</w:t>
            </w:r>
          </w:p>
          <w:p>
            <w:pPr>
              <w:pStyle w:val="ListParagraph"/>
              <w:widowControl w:val="false"/>
              <w:numPr>
                <w:ilvl w:val="0"/>
                <w:numId w:val="41"/>
              </w:numPr>
              <w:suppressAutoHyphens w:val="true"/>
              <w:jc w:val="both"/>
              <w:rPr>
                <w:sz w:val="22"/>
                <w:szCs w:val="22"/>
              </w:rPr>
            </w:pPr>
            <w:r>
              <w:rPr>
                <w:sz w:val="22"/>
                <w:szCs w:val="22"/>
              </w:rPr>
              <w:t>Środki rządowe w tym programy ARMiR i NFOŚ</w:t>
            </w:r>
          </w:p>
          <w:p>
            <w:pPr>
              <w:pStyle w:val="ListParagraph"/>
              <w:widowControl w:val="false"/>
              <w:jc w:val="both"/>
              <w:rPr>
                <w:sz w:val="22"/>
                <w:szCs w:val="22"/>
              </w:rPr>
            </w:pPr>
            <w:r>
              <w:rPr>
                <w:sz w:val="22"/>
                <w:szCs w:val="22"/>
              </w:rPr>
            </w:r>
          </w:p>
        </w:tc>
      </w:tr>
      <w:tr>
        <w:trPr>
          <w:trHeight w:val="1267" w:hRule="atLeast"/>
        </w:trPr>
        <w:tc>
          <w:tcPr>
            <w:tcW w:w="32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eastAsia="Times New Roman" w:cs="Times New Roman"/>
                <w:lang w:eastAsia="pl-PL"/>
              </w:rPr>
            </w:pPr>
            <w:r>
              <w:rPr>
                <w:rFonts w:cs="Times New Roman" w:ascii="Times New Roman" w:hAnsi="Times New Roman"/>
              </w:rPr>
              <w:t xml:space="preserve">Występowanie pomocy publicznej w projekcie </w:t>
            </w:r>
          </w:p>
        </w:tc>
        <w:tc>
          <w:tcPr>
            <w:tcW w:w="578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Nie</w:t>
            </w:r>
          </w:p>
        </w:tc>
      </w:tr>
      <w:tr>
        <w:trPr/>
        <w:tc>
          <w:tcPr>
            <w:tcW w:w="32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 xml:space="preserve">Zwięzły opis projektu </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(około1 strony A4)</w:t>
            </w:r>
          </w:p>
        </w:tc>
        <w:tc>
          <w:tcPr>
            <w:tcW w:w="578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FAZY:</w:t>
            </w:r>
          </w:p>
          <w:p>
            <w:pPr>
              <w:pStyle w:val="Normal"/>
              <w:widowControl w:val="false"/>
              <w:spacing w:lineRule="auto" w:line="240" w:before="0" w:after="0"/>
              <w:jc w:val="both"/>
              <w:rPr>
                <w:rFonts w:ascii="Times New Roman" w:hAnsi="Times New Roman" w:cs="Times New Roman"/>
                <w:lang w:eastAsia="pl-PL"/>
              </w:rPr>
            </w:pPr>
            <w:r>
              <w:rPr>
                <w:rFonts w:cs="Times New Roman" w:ascii="Times New Roman" w:hAnsi="Times New Roman"/>
                <w:lang w:eastAsia="pl-PL"/>
              </w:rPr>
              <w:t>1/ przygotowanie dokumentacji</w:t>
            </w:r>
          </w:p>
          <w:p>
            <w:pPr>
              <w:pStyle w:val="Normal"/>
              <w:widowControl w:val="false"/>
              <w:spacing w:lineRule="auto" w:line="240" w:before="0" w:after="0"/>
              <w:jc w:val="both"/>
              <w:rPr>
                <w:rFonts w:ascii="Times New Roman" w:hAnsi="Times New Roman" w:cs="Times New Roman"/>
                <w:lang w:eastAsia="pl-PL"/>
              </w:rPr>
            </w:pPr>
            <w:r>
              <w:rPr>
                <w:rFonts w:cs="Times New Roman" w:ascii="Times New Roman" w:hAnsi="Times New Roman"/>
                <w:lang w:eastAsia="pl-PL"/>
              </w:rPr>
              <w:t>2/ postępowanie przetargowe</w:t>
            </w:r>
          </w:p>
          <w:p>
            <w:pPr>
              <w:pStyle w:val="Normal"/>
              <w:widowControl w:val="false"/>
              <w:spacing w:lineRule="auto" w:line="240" w:before="0" w:after="0"/>
              <w:jc w:val="both"/>
              <w:rPr>
                <w:rFonts w:ascii="Times New Roman" w:hAnsi="Times New Roman" w:cs="Times New Roman"/>
                <w:lang w:eastAsia="pl-PL"/>
              </w:rPr>
            </w:pPr>
            <w:r>
              <w:rPr>
                <w:rFonts w:cs="Times New Roman" w:ascii="Times New Roman" w:hAnsi="Times New Roman"/>
                <w:lang w:eastAsia="pl-PL"/>
              </w:rPr>
              <w:t>3/ prace instalacyjne i budowlane</w:t>
            </w:r>
          </w:p>
          <w:p>
            <w:pPr>
              <w:pStyle w:val="Normal"/>
              <w:widowControl w:val="false"/>
              <w:spacing w:lineRule="auto" w:line="240" w:before="0" w:after="0"/>
              <w:jc w:val="both"/>
              <w:rPr>
                <w:rFonts w:ascii="Times New Roman" w:hAnsi="Times New Roman" w:cs="Times New Roman"/>
                <w:lang w:eastAsia="pl-PL"/>
              </w:rPr>
            </w:pPr>
            <w:r>
              <w:rPr>
                <w:rFonts w:cs="Times New Roman" w:ascii="Times New Roman" w:hAnsi="Times New Roman"/>
                <w:lang w:eastAsia="pl-PL"/>
              </w:rPr>
              <w:t>4/ poszukiwanie inwestorów</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 xml:space="preserve">UZASADNIENIE REALIZACJI PROJEKTU:  Zasoby wodne Polski zajmują w Europie przedostatnie miejsce. Ochrona tych zasobów staje się jeszcze bardziej paląca w związku ze zmianami klimatycznymi, długotrwałym brakiem opadów powodującym rekordowe susze, oraz wzrostem ilości i skażenia ścieków oraz wody opadowej. Powinniśmy troszczyć się o każdy litr wody. Im więcej jej zbierzemy w ramach dużej i małej retencji, tym mniejsze będzie zapotrzebowanie na nią z wodociągów, tym bardziej będziemy chronić środowisko i to nie tylko to wodne. Dużą retencją zajmują się władze centralne, mała retencja to działania lokalne (również samorządowe), włączając w nie właścicieli domów jednorodzinnych zbierających wody opadowe. </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W gospodarce ściekowej istotnym problemem dla naszej gminy jest modernizacja sieci kanalizacyjnej a mianowicie zastosowanie rozdrabniaczy do ścieków lub urządzeń ograniczających przepływ elementów stałych w kanalizacji.</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Budowa zbiorników retencyjnych oraz budowa zastawek i zasuw na rzekach i głównych rowach melioracyjnych pozwoli na regulację poziomu wód w terenie.</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Programy małej retencji pozwolą na:</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 wzrost objętości retencjonowanej wody;</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 wzrost pojemności obiektów małej retencji;</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 wzrost powierzchni siedlisk hydrogenicznych;</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 wzmocnienie ekosystemów powstałych lub utrzymanych w wyniku stosowania środków retencjonowania wód;</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 xml:space="preserve">- zwiększenie udziału przedsięwzięć z zakresu tworzenia retencji wodnej na poziomie lokalnym </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 zwiększenie społecznej świadomości problemu zmniejszających się zasobów wód i silnej potrzeby ich retencjonowania przez różne dostępne formy;</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 stworzenie możliwości sterowania odpływem i regulacji stosunków wodnych;</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 łagodzenie skutków suszy ze szczególnym uwzględnieniem terenów wiejskich i obszarów leśnych;</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 poprawę warunków rolniczego wykorzystania wód;</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 zwiększenie możliwości zagospodarowania zasobów wód powierzchniowych i podziemnych z uwzględnieniem potrzeb ekosystemów od nich zależnych;</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 wzrost znaczenia wód w zakresie ich społecznego, przyrodniczego i turystycznego wykorzystania;</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ZWIĄZEK Z DIAGNOZĄ: Projekt bezpośrednio związany z diagnozą LPRG. Infrastruktura stanowi odpowiedź na wskazane w diagnozie problemy i zagrożenia  min..</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 mała liczba terenów / brak terenów inwestycyjnych w Gminie Choceń</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 niska atrakcyjność inwestycyjna działek prywatnych</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 xml:space="preserve">- niedostatki w zakresie gospodarki wodno-ściekowej </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POWIĄZANIA Z INNYMI PROJEKTAMI / STRATEGIAMI: Projekt bezpośrednio związany ze Strategią Rozwoju Gminy Choceń na lata 2020-2030 oraz z Programem przeciwdziałania niedoborowi wody na lata 2021-2027 z perspektywą do roku 2030</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Efekty realizacji projektu w rozbiciu na produkty (bezpośrednio wytworzone w wyniku realizacji projektu) oraz rezultaty (oddziaływanie produktów projektu na system gospodarczy gminy).</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r>
          </w:p>
          <w:p>
            <w:pPr>
              <w:pStyle w:val="Normal"/>
              <w:widowControl w:val="false"/>
              <w:spacing w:lineRule="auto" w:line="240" w:before="0" w:after="0"/>
              <w:jc w:val="both"/>
              <w:rPr>
                <w:rFonts w:ascii="Times New Roman" w:hAnsi="Times New Roman" w:eastAsia="Times New Roman" w:cs="Times New Roman"/>
                <w:b/>
                <w:b/>
                <w:lang w:eastAsia="pl-PL"/>
              </w:rPr>
            </w:pPr>
            <w:r>
              <w:rPr>
                <w:rFonts w:eastAsia="Times New Roman" w:cs="Times New Roman" w:ascii="Times New Roman" w:hAnsi="Times New Roman"/>
                <w:b/>
                <w:lang w:eastAsia="pl-PL"/>
              </w:rPr>
              <w:t>Produkty:</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 xml:space="preserve">Liczba zmodernizowanych Stacji Uzdatniania Wody: 1 </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Liczba gospodarstw korzystających z programów małej retencji: 100</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Liczba urządzeń ograniczających przepływ elementów stałych w kanalizacji: 10</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Rezultaty:</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Liczba przedsiębiorstw korzystających bezpośrednio z wytworzonej infrastruktury: 50</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Liczba nowych inwestycji na terenie Gminy 2</w:t>
            </w:r>
          </w:p>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r>
          </w:p>
        </w:tc>
      </w:tr>
      <w:tr>
        <w:trPr/>
        <w:tc>
          <w:tcPr>
            <w:tcW w:w="32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 xml:space="preserve">Stan przygotowań do realizacji projektu </w:t>
            </w:r>
          </w:p>
        </w:tc>
        <w:tc>
          <w:tcPr>
            <w:tcW w:w="578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 xml:space="preserve">Projekt gotowy do realizacji. </w:t>
            </w:r>
          </w:p>
        </w:tc>
      </w:tr>
      <w:tr>
        <w:trPr/>
        <w:tc>
          <w:tcPr>
            <w:tcW w:w="32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rPr>
            </w:pPr>
            <w:r>
              <w:rPr>
                <w:rFonts w:eastAsia="Times New Roman" w:cs="Times New Roman" w:ascii="Times New Roman" w:hAnsi="Times New Roman"/>
                <w:lang w:eastAsia="pl-PL"/>
              </w:rPr>
              <w:t>Harmonogram realizacji przedsięwzięcia</w:t>
            </w:r>
          </w:p>
        </w:tc>
        <w:tc>
          <w:tcPr>
            <w:tcW w:w="578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 xml:space="preserve">Przygotowanie dokumentacji technicznej- II kwartał 2022 </w:t>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Procedura zamówień publicznych- II kwartał 2022</w:t>
            </w:r>
          </w:p>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Roboty budowlane- III kwartał 2022-I kwartał 2023</w:t>
            </w:r>
          </w:p>
        </w:tc>
      </w:tr>
      <w:tr>
        <w:trPr/>
        <w:tc>
          <w:tcPr>
            <w:tcW w:w="32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cs="Times New Roman"/>
              </w:rPr>
            </w:pPr>
            <w:r>
              <w:rPr>
                <w:rFonts w:eastAsia="Times New Roman" w:cs="Times New Roman" w:ascii="Times New Roman" w:hAnsi="Times New Roman"/>
                <w:lang w:eastAsia="pl-PL"/>
              </w:rPr>
              <w:t>Przewidywany termin rozpoczęcia realizacji projektu</w:t>
            </w:r>
          </w:p>
        </w:tc>
        <w:tc>
          <w:tcPr>
            <w:tcW w:w="578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II kw 2022</w:t>
            </w:r>
          </w:p>
        </w:tc>
      </w:tr>
      <w:tr>
        <w:trPr/>
        <w:tc>
          <w:tcPr>
            <w:tcW w:w="325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40" w:before="0" w:after="0"/>
              <w:jc w:val="both"/>
              <w:rPr>
                <w:rFonts w:ascii="Times New Roman" w:hAnsi="Times New Roman" w:eastAsia="Times New Roman" w:cs="Times New Roman"/>
                <w:lang w:eastAsia="pl-PL"/>
              </w:rPr>
            </w:pPr>
            <w:r>
              <w:rPr>
                <w:rFonts w:eastAsia="Times New Roman" w:cs="Times New Roman" w:ascii="Times New Roman" w:hAnsi="Times New Roman"/>
                <w:lang w:eastAsia="pl-PL"/>
              </w:rPr>
              <w:t>Przewidywany termin zakończenia realizacji projektu</w:t>
            </w:r>
          </w:p>
        </w:tc>
        <w:tc>
          <w:tcPr>
            <w:tcW w:w="578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both"/>
              <w:rPr>
                <w:rFonts w:ascii="Times New Roman" w:hAnsi="Times New Roman" w:cs="Times New Roman"/>
              </w:rPr>
            </w:pPr>
            <w:r>
              <w:rPr>
                <w:rFonts w:cs="Times New Roman" w:ascii="Times New Roman" w:hAnsi="Times New Roman"/>
              </w:rPr>
              <w:t>III kw. 2023</w:t>
            </w:r>
          </w:p>
        </w:tc>
      </w:tr>
    </w:tbl>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360" w:before="0" w:after="0"/>
        <w:rPr>
          <w:rFonts w:ascii="Times New Roman" w:hAnsi="Times New Roman" w:cs="Times New Roman"/>
        </w:rPr>
      </w:pPr>
      <w:r>
        <w:rPr>
          <w:rFonts w:cs="Times New Roman" w:ascii="Times New Roman" w:hAnsi="Times New Roman"/>
        </w:rPr>
      </w:r>
    </w:p>
    <w:p>
      <w:pPr>
        <w:pStyle w:val="Normal"/>
        <w:spacing w:lineRule="auto" w:line="360" w:before="0" w:after="0"/>
        <w:rPr>
          <w:rFonts w:ascii="Times New Roman" w:hAnsi="Times New Roman" w:cs="Times New Roman"/>
        </w:rPr>
      </w:pPr>
      <w:r>
        <w:rPr>
          <w:rFonts w:cs="Times New Roman" w:ascii="Times New Roman" w:hAnsi="Times New Roman"/>
        </w:rPr>
      </w:r>
    </w:p>
    <w:p>
      <w:pPr>
        <w:pStyle w:val="Nagwek1"/>
        <w:rPr>
          <w:rFonts w:ascii="Times New Roman" w:hAnsi="Times New Roman" w:cs="Times New Roman"/>
        </w:rPr>
      </w:pPr>
      <w:bookmarkStart w:id="55" w:name="_Toc85228991"/>
      <w:r>
        <w:rPr>
          <w:rFonts w:cs="Times New Roman" w:ascii="Times New Roman" w:hAnsi="Times New Roman"/>
        </w:rPr>
        <w:t>Załącznik 2. Lista i oferta wojewódzkich organizacji wspomagających sektor MSP</w:t>
      </w:r>
      <w:bookmarkEnd w:id="55"/>
    </w:p>
    <w:p>
      <w:pPr>
        <w:pStyle w:val="Normal"/>
        <w:spacing w:lineRule="auto" w:line="360" w:before="0" w:after="0"/>
        <w:rPr>
          <w:rFonts w:ascii="Times New Roman" w:hAnsi="Times New Roman" w:cs="Times New Roman"/>
        </w:rPr>
      </w:pPr>
      <w:r>
        <w:rPr>
          <w:rFonts w:cs="Times New Roman" w:ascii="Times New Roman" w:hAnsi="Times New Roman"/>
        </w:rPr>
      </w:r>
    </w:p>
    <w:p>
      <w:pPr>
        <w:pStyle w:val="ListParagraph"/>
        <w:numPr>
          <w:ilvl w:val="1"/>
          <w:numId w:val="10"/>
        </w:numPr>
        <w:spacing w:lineRule="auto" w:line="360"/>
        <w:ind w:left="284" w:hanging="284"/>
        <w:rPr>
          <w:b/>
          <w:b/>
          <w:bCs/>
          <w:sz w:val="22"/>
          <w:szCs w:val="22"/>
        </w:rPr>
      </w:pPr>
      <w:r>
        <w:rPr>
          <w:b/>
          <w:bCs/>
          <w:sz w:val="22"/>
          <w:szCs w:val="22"/>
        </w:rPr>
        <w:t>KLASTRY I POWIĄZANIA KOOPERACYJNE</w:t>
      </w:r>
    </w:p>
    <w:p>
      <w:pPr>
        <w:pStyle w:val="Normal"/>
        <w:spacing w:lineRule="auto" w:line="360" w:before="0" w:after="0"/>
        <w:rPr>
          <w:rFonts w:ascii="Times New Roman" w:hAnsi="Times New Roman" w:cs="Times New Roman"/>
        </w:rPr>
      </w:pPr>
      <w:r>
        <w:rPr>
          <w:rFonts w:cs="Times New Roman" w:ascii="Times New Roman" w:hAnsi="Times New Roman"/>
        </w:rPr>
      </w:r>
    </w:p>
    <w:p>
      <w:pPr>
        <w:pStyle w:val="Normal"/>
        <w:spacing w:lineRule="auto" w:line="360" w:before="0" w:after="0"/>
        <w:rPr>
          <w:rFonts w:ascii="Times New Roman" w:hAnsi="Times New Roman" w:cs="Times New Roman"/>
        </w:rPr>
      </w:pPr>
      <w:r>
        <w:rPr>
          <w:rFonts w:cs="Times New Roman" w:ascii="Times New Roman" w:hAnsi="Times New Roman"/>
        </w:rPr>
        <w:t xml:space="preserve">Bydgoski Klaster Przemysłowy: </w:t>
      </w:r>
      <w:hyperlink r:id="rId30">
        <w:r>
          <w:rPr>
            <w:rStyle w:val="Czeinternetowe"/>
            <w:rFonts w:cs="Times New Roman" w:ascii="Times New Roman" w:hAnsi="Times New Roman"/>
            <w:color w:val="auto"/>
          </w:rPr>
          <w:t>https://klaster.bydgoszcz.pl/</w:t>
        </w:r>
      </w:hyperlink>
      <w:r>
        <w:rPr>
          <w:rFonts w:cs="Times New Roman" w:ascii="Times New Roman" w:hAnsi="Times New Roman"/>
        </w:rPr>
        <w:t xml:space="preserve"> </w:t>
      </w:r>
    </w:p>
    <w:p>
      <w:pPr>
        <w:pStyle w:val="Normal"/>
        <w:spacing w:lineRule="auto" w:line="360" w:before="0" w:after="0"/>
        <w:rPr>
          <w:rFonts w:ascii="Times New Roman" w:hAnsi="Times New Roman" w:cs="Times New Roman"/>
        </w:rPr>
      </w:pPr>
      <w:r>
        <w:rPr>
          <w:rFonts w:cs="Times New Roman" w:ascii="Times New Roman" w:hAnsi="Times New Roman"/>
        </w:rPr>
        <w:t>Klaster Przemysłów Kreatywnych Sp.z o.o.:</w:t>
      </w:r>
      <w:hyperlink r:id="rId31">
        <w:r>
          <w:rPr>
            <w:rStyle w:val="Czeinternetowe"/>
            <w:rFonts w:cs="Times New Roman" w:ascii="Times New Roman" w:hAnsi="Times New Roman"/>
            <w:color w:val="auto"/>
          </w:rPr>
          <w:t>http://www.klasterpk.byd.pl/</w:t>
        </w:r>
      </w:hyperlink>
      <w:r>
        <w:rPr>
          <w:rFonts w:cs="Times New Roman" w:ascii="Times New Roman" w:hAnsi="Times New Roman"/>
        </w:rPr>
        <w:t xml:space="preserve"> </w:t>
      </w:r>
    </w:p>
    <w:p>
      <w:pPr>
        <w:pStyle w:val="Normal"/>
        <w:spacing w:lineRule="auto" w:line="360" w:before="0" w:after="0"/>
        <w:rPr>
          <w:rFonts w:ascii="Times New Roman" w:hAnsi="Times New Roman" w:cs="Times New Roman"/>
        </w:rPr>
      </w:pPr>
      <w:r>
        <w:rPr>
          <w:rFonts w:cs="Times New Roman" w:ascii="Times New Roman" w:hAnsi="Times New Roman"/>
        </w:rPr>
        <w:t xml:space="preserve">Agro Klaster Kujawy - Stowarzyszenie Na Rzecz Innowacji i Rozwoju: </w:t>
      </w:r>
      <w:hyperlink r:id="rId32">
        <w:r>
          <w:rPr>
            <w:rStyle w:val="Czeinternetowe"/>
            <w:rFonts w:cs="Times New Roman" w:ascii="Times New Roman" w:hAnsi="Times New Roman"/>
            <w:color w:val="auto"/>
          </w:rPr>
          <w:t>http://www.agroklaster.pl/</w:t>
        </w:r>
      </w:hyperlink>
      <w:r>
        <w:rPr>
          <w:rFonts w:cs="Times New Roman" w:ascii="Times New Roman" w:hAnsi="Times New Roman"/>
        </w:rPr>
        <w:t xml:space="preserve"> </w:t>
      </w:r>
    </w:p>
    <w:p>
      <w:pPr>
        <w:pStyle w:val="Normal"/>
        <w:spacing w:lineRule="auto" w:line="360" w:before="0" w:after="0"/>
        <w:rPr>
          <w:rFonts w:ascii="Times New Roman" w:hAnsi="Times New Roman" w:cs="Times New Roman"/>
        </w:rPr>
      </w:pPr>
      <w:r>
        <w:rPr>
          <w:rFonts w:cs="Times New Roman" w:ascii="Times New Roman" w:hAnsi="Times New Roman"/>
        </w:rPr>
        <w:t xml:space="preserve">Bydgoski Klaster Informatyczny: Adres: </w:t>
      </w:r>
      <w:hyperlink r:id="rId33">
        <w:r>
          <w:rPr>
            <w:rStyle w:val="Czeinternetowe"/>
            <w:rFonts w:cs="Times New Roman" w:ascii="Times New Roman" w:hAnsi="Times New Roman"/>
            <w:color w:val="auto"/>
          </w:rPr>
          <w:t>https://bki.org.pl/</w:t>
        </w:r>
      </w:hyperlink>
      <w:r>
        <w:rPr>
          <w:rFonts w:cs="Times New Roman" w:ascii="Times New Roman" w:hAnsi="Times New Roman"/>
        </w:rPr>
        <w:t xml:space="preserve"> </w:t>
      </w:r>
    </w:p>
    <w:p>
      <w:pPr>
        <w:pStyle w:val="Normal"/>
        <w:spacing w:lineRule="auto" w:line="360" w:before="0" w:after="0"/>
        <w:rPr>
          <w:rFonts w:ascii="Times New Roman" w:hAnsi="Times New Roman" w:cs="Times New Roman"/>
        </w:rPr>
      </w:pPr>
      <w:r>
        <w:rPr>
          <w:rFonts w:cs="Times New Roman" w:ascii="Times New Roman" w:hAnsi="Times New Roman"/>
        </w:rPr>
        <w:t xml:space="preserve">OFERTA KLASTRÓW: </w:t>
      </w:r>
    </w:p>
    <w:p>
      <w:pPr>
        <w:pStyle w:val="ListParagraph"/>
        <w:numPr>
          <w:ilvl w:val="0"/>
          <w:numId w:val="19"/>
        </w:numPr>
        <w:spacing w:lineRule="auto" w:line="360"/>
        <w:rPr>
          <w:sz w:val="22"/>
          <w:szCs w:val="22"/>
        </w:rPr>
      </w:pPr>
      <w:r>
        <w:rPr>
          <w:sz w:val="22"/>
          <w:szCs w:val="22"/>
        </w:rPr>
        <w:t>Podejmowanie działań i inicjatyw wspomagających rozwój i funkcjonowanie przedsiębiorców działających w sektorze agrobiznesu, w tym m.in.:</w:t>
      </w:r>
    </w:p>
    <w:p>
      <w:pPr>
        <w:pStyle w:val="ListParagraph"/>
        <w:numPr>
          <w:ilvl w:val="0"/>
          <w:numId w:val="19"/>
        </w:numPr>
        <w:spacing w:lineRule="auto" w:line="360"/>
        <w:rPr>
          <w:sz w:val="22"/>
          <w:szCs w:val="22"/>
        </w:rPr>
      </w:pPr>
      <w:r>
        <w:rPr>
          <w:sz w:val="22"/>
          <w:szCs w:val="22"/>
        </w:rPr>
        <w:t>Współpraca Klastra i przedsiębiorców – członków ze sferą naukową i badawczo – rozwojową.</w:t>
      </w:r>
    </w:p>
    <w:p>
      <w:pPr>
        <w:pStyle w:val="ListParagraph"/>
        <w:numPr>
          <w:ilvl w:val="0"/>
          <w:numId w:val="19"/>
        </w:numPr>
        <w:spacing w:lineRule="auto" w:line="360"/>
        <w:rPr>
          <w:sz w:val="22"/>
          <w:szCs w:val="22"/>
        </w:rPr>
      </w:pPr>
      <w:r>
        <w:rPr>
          <w:sz w:val="22"/>
          <w:szCs w:val="22"/>
        </w:rPr>
        <w:t>Poprawa konkurencyjności przedsiębiorców – obniżanie kosztów produkcji oraz wspólne działania marketingowe.</w:t>
      </w:r>
    </w:p>
    <w:p>
      <w:pPr>
        <w:pStyle w:val="ListParagraph"/>
        <w:numPr>
          <w:ilvl w:val="0"/>
          <w:numId w:val="19"/>
        </w:numPr>
        <w:spacing w:lineRule="auto" w:line="360"/>
        <w:rPr>
          <w:sz w:val="22"/>
          <w:szCs w:val="22"/>
        </w:rPr>
      </w:pPr>
      <w:r>
        <w:rPr>
          <w:sz w:val="22"/>
          <w:szCs w:val="22"/>
        </w:rPr>
        <w:t>Prowadzenie prac badawczych nad nowymi rozwiązaniami produkcyjnymi i ich wdrażanie oraz wprowadzanie nowych produktów.</w:t>
      </w:r>
    </w:p>
    <w:p>
      <w:pPr>
        <w:pStyle w:val="ListParagraph"/>
        <w:numPr>
          <w:ilvl w:val="0"/>
          <w:numId w:val="19"/>
        </w:numPr>
        <w:spacing w:lineRule="auto" w:line="360"/>
        <w:rPr>
          <w:sz w:val="22"/>
          <w:szCs w:val="22"/>
        </w:rPr>
      </w:pPr>
      <w:r>
        <w:rPr>
          <w:sz w:val="22"/>
          <w:szCs w:val="22"/>
        </w:rPr>
        <w:t>Podnoszenie skuteczności i sprawności zarządzania przedsiębiorców – członków Klastra</w:t>
      </w:r>
    </w:p>
    <w:p>
      <w:pPr>
        <w:pStyle w:val="ListParagraph"/>
        <w:numPr>
          <w:ilvl w:val="0"/>
          <w:numId w:val="19"/>
        </w:numPr>
        <w:spacing w:lineRule="auto" w:line="360"/>
        <w:rPr>
          <w:sz w:val="22"/>
          <w:szCs w:val="22"/>
        </w:rPr>
      </w:pPr>
      <w:r>
        <w:rPr>
          <w:sz w:val="22"/>
          <w:szCs w:val="22"/>
        </w:rPr>
        <w:t>Wdrażanie nowych systemów zarządzania przedsiębiorstwami oraz nowych systemów informatycznych.</w:t>
      </w:r>
    </w:p>
    <w:p>
      <w:pPr>
        <w:pStyle w:val="ListParagraph"/>
        <w:numPr>
          <w:ilvl w:val="0"/>
          <w:numId w:val="19"/>
        </w:numPr>
        <w:spacing w:lineRule="auto" w:line="360"/>
        <w:rPr>
          <w:sz w:val="22"/>
          <w:szCs w:val="22"/>
        </w:rPr>
      </w:pPr>
      <w:r>
        <w:rPr>
          <w:sz w:val="22"/>
          <w:szCs w:val="22"/>
        </w:rPr>
        <w:t>Podejmowanie inicjatyw, w interesie przedsiębiorców mających na celu ułatwienie ich działalności i rozwoju oraz skonsolidowanie współpracy.</w:t>
      </w:r>
    </w:p>
    <w:p>
      <w:pPr>
        <w:pStyle w:val="Normal"/>
        <w:spacing w:lineRule="auto" w:line="360" w:before="0" w:after="0"/>
        <w:rPr>
          <w:rFonts w:ascii="Times New Roman" w:hAnsi="Times New Roman" w:cs="Times New Roman"/>
        </w:rPr>
      </w:pPr>
      <w:r>
        <w:rPr>
          <w:rFonts w:cs="Times New Roman" w:ascii="Times New Roman" w:hAnsi="Times New Roman"/>
        </w:rPr>
      </w:r>
    </w:p>
    <w:p>
      <w:pPr>
        <w:pStyle w:val="ListParagraph"/>
        <w:numPr>
          <w:ilvl w:val="1"/>
          <w:numId w:val="10"/>
        </w:numPr>
        <w:spacing w:lineRule="auto" w:line="360"/>
        <w:ind w:left="426" w:hanging="426"/>
        <w:rPr>
          <w:b/>
          <w:b/>
          <w:bCs/>
          <w:sz w:val="22"/>
          <w:szCs w:val="22"/>
        </w:rPr>
      </w:pPr>
      <w:r>
        <w:rPr>
          <w:b/>
          <w:bCs/>
          <w:sz w:val="22"/>
          <w:szCs w:val="22"/>
        </w:rPr>
        <w:t>INSTYTUCJE OTOCZENIA BIZNESU I FUNDUSZE POŻYCZKOWE</w:t>
      </w:r>
    </w:p>
    <w:p>
      <w:pPr>
        <w:pStyle w:val="Normal"/>
        <w:spacing w:lineRule="auto" w:line="360" w:before="0" w:after="0"/>
        <w:rPr>
          <w:rFonts w:ascii="Times New Roman" w:hAnsi="Times New Roman" w:cs="Times New Roman"/>
        </w:rPr>
      </w:pPr>
      <w:r>
        <w:rPr>
          <w:rFonts w:cs="Times New Roman" w:ascii="Times New Roman" w:hAnsi="Times New Roman"/>
        </w:rPr>
      </w:r>
    </w:p>
    <w:p>
      <w:pPr>
        <w:pStyle w:val="Normal"/>
        <w:spacing w:lineRule="auto" w:line="360" w:before="0" w:after="0"/>
        <w:rPr>
          <w:rFonts w:ascii="Times New Roman" w:hAnsi="Times New Roman" w:cs="Times New Roman"/>
        </w:rPr>
      </w:pPr>
      <w:r>
        <w:rPr>
          <w:rFonts w:cs="Times New Roman" w:ascii="Times New Roman" w:hAnsi="Times New Roman"/>
        </w:rPr>
        <w:t>Toruńska Agencja Rozwoju Regionalnego S.A.</w:t>
      </w:r>
    </w:p>
    <w:p>
      <w:pPr>
        <w:pStyle w:val="Normal"/>
        <w:spacing w:lineRule="auto" w:line="360" w:before="0" w:after="0"/>
        <w:rPr>
          <w:rFonts w:ascii="Times New Roman" w:hAnsi="Times New Roman" w:cs="Times New Roman"/>
        </w:rPr>
      </w:pPr>
      <w:r>
        <w:rPr>
          <w:rFonts w:cs="Times New Roman" w:ascii="Times New Roman" w:hAnsi="Times New Roman"/>
        </w:rPr>
        <w:t xml:space="preserve">Adres: </w:t>
      </w:r>
      <w:hyperlink r:id="rId34">
        <w:r>
          <w:rPr>
            <w:rStyle w:val="Czeinternetowe"/>
            <w:rFonts w:cs="Times New Roman" w:ascii="Times New Roman" w:hAnsi="Times New Roman"/>
            <w:color w:val="auto"/>
          </w:rPr>
          <w:t>https://www.tarr.org.pl</w:t>
        </w:r>
      </w:hyperlink>
      <w:r>
        <w:rPr>
          <w:rFonts w:cs="Times New Roman" w:ascii="Times New Roman" w:hAnsi="Times New Roman"/>
        </w:rPr>
        <w:t xml:space="preserve"> </w:t>
      </w:r>
    </w:p>
    <w:p>
      <w:pPr>
        <w:pStyle w:val="ListParagraph"/>
        <w:numPr>
          <w:ilvl w:val="0"/>
          <w:numId w:val="20"/>
        </w:numPr>
        <w:spacing w:lineRule="auto" w:line="360"/>
        <w:rPr>
          <w:sz w:val="22"/>
          <w:szCs w:val="22"/>
        </w:rPr>
      </w:pPr>
      <w:r>
        <w:rPr>
          <w:sz w:val="22"/>
          <w:szCs w:val="22"/>
        </w:rPr>
        <w:t>Tereny inwestycyjne: Działki na sprzedaż w atrakcyjnej lokalizacji. Grunty z kompleksowym uzbrojeniem w drogi i niezbędne sieci.</w:t>
      </w:r>
    </w:p>
    <w:p>
      <w:pPr>
        <w:pStyle w:val="ListParagraph"/>
        <w:numPr>
          <w:ilvl w:val="0"/>
          <w:numId w:val="20"/>
        </w:numPr>
        <w:spacing w:lineRule="auto" w:line="360"/>
        <w:rPr>
          <w:sz w:val="22"/>
          <w:szCs w:val="22"/>
        </w:rPr>
      </w:pPr>
      <w:r>
        <w:rPr>
          <w:sz w:val="22"/>
          <w:szCs w:val="22"/>
        </w:rPr>
        <w:t>Dofinansowanie ze środków UE: Projekty, Fundusze i ich nabory, w ramach których udzielane jest wsparcie finansowe na założenie i rozwój działalności MŚP.</w:t>
      </w:r>
    </w:p>
    <w:p>
      <w:pPr>
        <w:pStyle w:val="ListParagraph"/>
        <w:numPr>
          <w:ilvl w:val="0"/>
          <w:numId w:val="20"/>
        </w:numPr>
        <w:spacing w:lineRule="auto" w:line="360"/>
        <w:rPr>
          <w:sz w:val="22"/>
          <w:szCs w:val="22"/>
        </w:rPr>
      </w:pPr>
      <w:r>
        <w:rPr>
          <w:sz w:val="22"/>
          <w:szCs w:val="22"/>
        </w:rPr>
        <w:t>Wsparcie eksportu i internacjonalizacji: Doradztwo, konsultacje i analizy badające gotowość eksportową i wspierające rozwój działalności międzynarodowej przedsiębiorców.</w:t>
      </w:r>
    </w:p>
    <w:p>
      <w:pPr>
        <w:pStyle w:val="ListParagraph"/>
        <w:numPr>
          <w:ilvl w:val="0"/>
          <w:numId w:val="20"/>
        </w:numPr>
        <w:spacing w:lineRule="auto" w:line="360"/>
        <w:rPr>
          <w:sz w:val="22"/>
          <w:szCs w:val="22"/>
        </w:rPr>
      </w:pPr>
      <w:r>
        <w:rPr>
          <w:sz w:val="22"/>
          <w:szCs w:val="22"/>
        </w:rPr>
        <w:t>Hub Innowacji Cyfrowych: Nowoczesne technologie wspierające kujawsko-pomorski sektor MŚP. Doradztwo i pomoc w dostosowywaniu modeli biznesowych do wymogów cyfrowej gospodarki i Przemysłu 4.0.</w:t>
      </w:r>
    </w:p>
    <w:p>
      <w:pPr>
        <w:pStyle w:val="ListParagraph"/>
        <w:numPr>
          <w:ilvl w:val="0"/>
          <w:numId w:val="20"/>
        </w:numPr>
        <w:spacing w:lineRule="auto" w:line="360"/>
        <w:rPr>
          <w:sz w:val="22"/>
          <w:szCs w:val="22"/>
        </w:rPr>
      </w:pPr>
      <w:r>
        <w:rPr>
          <w:sz w:val="22"/>
          <w:szCs w:val="22"/>
        </w:rPr>
        <w:t>Doradztwo i szkolenia: Projekty szkoleniowe i edukacyjne podnoszące kompetencje i kwalifikacje pracodawców i pracowników oraz wspierające w poszukiwaniu i poprawianiu sytuacji osób na rynku pracy.</w:t>
      </w:r>
    </w:p>
    <w:p>
      <w:pPr>
        <w:pStyle w:val="Normal"/>
        <w:spacing w:lineRule="auto" w:line="360" w:before="0" w:after="0"/>
        <w:rPr>
          <w:rFonts w:ascii="Times New Roman" w:hAnsi="Times New Roman" w:cs="Times New Roman"/>
        </w:rPr>
      </w:pPr>
      <w:r>
        <w:rPr>
          <w:rFonts w:cs="Times New Roman" w:ascii="Times New Roman" w:hAnsi="Times New Roman"/>
        </w:rPr>
      </w:r>
    </w:p>
    <w:p>
      <w:pPr>
        <w:pStyle w:val="Normal"/>
        <w:spacing w:lineRule="auto" w:line="360" w:before="0" w:after="0"/>
        <w:rPr>
          <w:rFonts w:ascii="Times New Roman" w:hAnsi="Times New Roman" w:cs="Times New Roman"/>
        </w:rPr>
      </w:pPr>
      <w:r>
        <w:rPr>
          <w:rFonts w:cs="Times New Roman" w:ascii="Times New Roman" w:hAnsi="Times New Roman"/>
        </w:rPr>
        <w:t>Polskie Towarzystwo Ekonomiczne o. Bydgoszcz</w:t>
      </w:r>
    </w:p>
    <w:p>
      <w:pPr>
        <w:pStyle w:val="Normal"/>
        <w:spacing w:lineRule="auto" w:line="360" w:before="0" w:after="0"/>
        <w:rPr>
          <w:rFonts w:ascii="Times New Roman" w:hAnsi="Times New Roman" w:cs="Times New Roman"/>
        </w:rPr>
      </w:pPr>
      <w:r>
        <w:rPr>
          <w:rFonts w:cs="Times New Roman" w:ascii="Times New Roman" w:hAnsi="Times New Roman"/>
        </w:rPr>
        <w:t xml:space="preserve">Adres: </w:t>
      </w:r>
      <w:hyperlink r:id="rId35">
        <w:r>
          <w:rPr>
            <w:rStyle w:val="Czeinternetowe"/>
            <w:rFonts w:cs="Times New Roman" w:ascii="Times New Roman" w:hAnsi="Times New Roman"/>
            <w:color w:val="auto"/>
          </w:rPr>
          <w:t>https://pte.bydgoszcz.pl/</w:t>
        </w:r>
      </w:hyperlink>
      <w:r>
        <w:rPr>
          <w:rFonts w:cs="Times New Roman" w:ascii="Times New Roman" w:hAnsi="Times New Roman"/>
        </w:rPr>
        <w:t xml:space="preserve"> </w:t>
      </w:r>
    </w:p>
    <w:p>
      <w:pPr>
        <w:pStyle w:val="ListParagraph"/>
        <w:numPr>
          <w:ilvl w:val="0"/>
          <w:numId w:val="21"/>
        </w:numPr>
        <w:spacing w:lineRule="auto" w:line="360"/>
        <w:rPr>
          <w:sz w:val="22"/>
          <w:szCs w:val="22"/>
        </w:rPr>
      </w:pPr>
      <w:r>
        <w:rPr>
          <w:sz w:val="22"/>
          <w:szCs w:val="22"/>
        </w:rPr>
        <w:t xml:space="preserve">Projekty w tym projekty dot. wsparcia finansowego na założenie i rozwój działalności MŚP. </w:t>
      </w:r>
    </w:p>
    <w:p>
      <w:pPr>
        <w:pStyle w:val="ListParagraph"/>
        <w:numPr>
          <w:ilvl w:val="0"/>
          <w:numId w:val="21"/>
        </w:numPr>
        <w:spacing w:lineRule="auto" w:line="360"/>
        <w:rPr>
          <w:sz w:val="22"/>
          <w:szCs w:val="22"/>
        </w:rPr>
      </w:pPr>
      <w:r>
        <w:rPr>
          <w:sz w:val="22"/>
          <w:szCs w:val="22"/>
        </w:rPr>
        <w:t xml:space="preserve">Szkolenia: Kadry i płace w firmie, Podstawy rachunkowości i księgowości firmy z wykorzystaniem komputera, Kursy dla kandydatów na członków rad nadzorczych, </w:t>
      </w:r>
    </w:p>
    <w:p>
      <w:pPr>
        <w:pStyle w:val="ListParagraph"/>
        <w:numPr>
          <w:ilvl w:val="0"/>
          <w:numId w:val="21"/>
        </w:numPr>
        <w:spacing w:lineRule="auto" w:line="360"/>
        <w:rPr>
          <w:sz w:val="22"/>
          <w:szCs w:val="22"/>
        </w:rPr>
      </w:pPr>
      <w:r>
        <w:rPr>
          <w:sz w:val="22"/>
          <w:szCs w:val="22"/>
        </w:rPr>
        <w:t>Usługi w zakresie: diagnozy ekonomiczno-finansowej przedsiębiorstw, programu uzdrawiania sytuacji ekonomiczno-finansowej przedmiotów gospodarczych,</w:t>
      </w:r>
    </w:p>
    <w:p>
      <w:pPr>
        <w:pStyle w:val="ListParagraph"/>
        <w:numPr>
          <w:ilvl w:val="0"/>
          <w:numId w:val="21"/>
        </w:numPr>
        <w:spacing w:lineRule="auto" w:line="360"/>
        <w:rPr>
          <w:sz w:val="22"/>
          <w:szCs w:val="22"/>
        </w:rPr>
      </w:pPr>
      <w:r>
        <w:rPr>
          <w:sz w:val="22"/>
          <w:szCs w:val="22"/>
        </w:rPr>
        <w:t xml:space="preserve">programów naprawczych, kierunków restrukturyzacji firm, </w:t>
      </w:r>
    </w:p>
    <w:p>
      <w:pPr>
        <w:pStyle w:val="ListParagraph"/>
        <w:numPr>
          <w:ilvl w:val="0"/>
          <w:numId w:val="21"/>
        </w:numPr>
        <w:spacing w:lineRule="auto" w:line="360"/>
        <w:rPr>
          <w:sz w:val="22"/>
          <w:szCs w:val="22"/>
        </w:rPr>
      </w:pPr>
      <w:r>
        <w:rPr>
          <w:sz w:val="22"/>
          <w:szCs w:val="22"/>
        </w:rPr>
        <w:t>Pożyczki: pożyczki w ramach środków pochodzących z dotacji otrzymanej z Banku Światowego oraz z dotacji Polskiej Agencji Rozwoju Przedsiębiorczości.</w:t>
      </w:r>
    </w:p>
    <w:p>
      <w:pPr>
        <w:pStyle w:val="Normal"/>
        <w:spacing w:lineRule="auto" w:line="360" w:before="0" w:after="0"/>
        <w:rPr>
          <w:rFonts w:ascii="Times New Roman" w:hAnsi="Times New Roman" w:cs="Times New Roman"/>
        </w:rPr>
      </w:pPr>
      <w:r>
        <w:rPr>
          <w:rFonts w:cs="Times New Roman" w:ascii="Times New Roman" w:hAnsi="Times New Roman"/>
        </w:rPr>
      </w:r>
    </w:p>
    <w:p>
      <w:pPr>
        <w:pStyle w:val="Normal"/>
        <w:spacing w:lineRule="auto" w:line="360" w:before="0" w:after="0"/>
        <w:rPr>
          <w:rFonts w:ascii="Times New Roman" w:hAnsi="Times New Roman" w:cs="Times New Roman"/>
        </w:rPr>
      </w:pPr>
      <w:r>
        <w:rPr>
          <w:rFonts w:cs="Times New Roman" w:ascii="Times New Roman" w:hAnsi="Times New Roman"/>
        </w:rPr>
        <w:t>Izba Przemysłowo Handlowa</w:t>
      </w:r>
    </w:p>
    <w:p>
      <w:pPr>
        <w:pStyle w:val="Normal"/>
        <w:spacing w:lineRule="auto" w:line="360" w:before="0" w:after="0"/>
        <w:rPr>
          <w:rFonts w:ascii="Times New Roman" w:hAnsi="Times New Roman" w:cs="Times New Roman"/>
        </w:rPr>
      </w:pPr>
      <w:r>
        <w:rPr>
          <w:rFonts w:cs="Times New Roman" w:ascii="Times New Roman" w:hAnsi="Times New Roman"/>
        </w:rPr>
        <w:t xml:space="preserve">Adres: </w:t>
      </w:r>
      <w:hyperlink r:id="rId36">
        <w:r>
          <w:rPr>
            <w:rStyle w:val="Czeinternetowe"/>
            <w:rFonts w:cs="Times New Roman" w:ascii="Times New Roman" w:hAnsi="Times New Roman"/>
            <w:color w:val="auto"/>
          </w:rPr>
          <w:t>https://www.iph.torun.pl/</w:t>
        </w:r>
      </w:hyperlink>
    </w:p>
    <w:p>
      <w:pPr>
        <w:pStyle w:val="Normal"/>
        <w:spacing w:lineRule="auto" w:line="360" w:before="0" w:after="0"/>
        <w:rPr>
          <w:rFonts w:ascii="Times New Roman" w:hAnsi="Times New Roman" w:cs="Times New Roman"/>
        </w:rPr>
      </w:pPr>
      <w:r>
        <w:rPr>
          <w:rFonts w:cs="Times New Roman" w:ascii="Times New Roman" w:hAnsi="Times New Roman"/>
        </w:rPr>
        <w:t>Oferta:</w:t>
      </w:r>
    </w:p>
    <w:p>
      <w:pPr>
        <w:pStyle w:val="ListParagraph"/>
        <w:numPr>
          <w:ilvl w:val="0"/>
          <w:numId w:val="22"/>
        </w:numPr>
        <w:spacing w:lineRule="auto" w:line="360"/>
        <w:rPr>
          <w:sz w:val="22"/>
          <w:szCs w:val="22"/>
        </w:rPr>
      </w:pPr>
      <w:r>
        <w:rPr>
          <w:sz w:val="22"/>
          <w:szCs w:val="22"/>
        </w:rPr>
        <w:t>Szkolenia biznesowe i doradztwo biznesowe</w:t>
      </w:r>
    </w:p>
    <w:p>
      <w:pPr>
        <w:pStyle w:val="ListParagraph"/>
        <w:numPr>
          <w:ilvl w:val="0"/>
          <w:numId w:val="22"/>
        </w:numPr>
        <w:spacing w:lineRule="auto" w:line="360"/>
        <w:rPr>
          <w:sz w:val="22"/>
          <w:szCs w:val="22"/>
        </w:rPr>
      </w:pPr>
      <w:r>
        <w:rPr>
          <w:sz w:val="22"/>
          <w:szCs w:val="22"/>
        </w:rPr>
        <w:t>Fundusze na założenie i rozwój działalności gospodarczej</w:t>
      </w:r>
    </w:p>
    <w:p>
      <w:pPr>
        <w:pStyle w:val="ListParagraph"/>
        <w:numPr>
          <w:ilvl w:val="0"/>
          <w:numId w:val="22"/>
        </w:numPr>
        <w:spacing w:lineRule="auto" w:line="360"/>
        <w:rPr>
          <w:sz w:val="22"/>
          <w:szCs w:val="22"/>
        </w:rPr>
      </w:pPr>
      <w:r>
        <w:rPr>
          <w:sz w:val="22"/>
          <w:szCs w:val="22"/>
        </w:rPr>
        <w:t>Grupa zakupowa dla członków Izby</w:t>
      </w:r>
    </w:p>
    <w:p>
      <w:pPr>
        <w:pStyle w:val="ListParagraph"/>
        <w:numPr>
          <w:ilvl w:val="0"/>
          <w:numId w:val="22"/>
        </w:numPr>
        <w:spacing w:lineRule="auto" w:line="360"/>
        <w:rPr>
          <w:sz w:val="22"/>
          <w:szCs w:val="22"/>
        </w:rPr>
      </w:pPr>
      <w:r>
        <w:rPr>
          <w:sz w:val="22"/>
          <w:szCs w:val="22"/>
        </w:rPr>
        <w:t>ePodpis - certyfikacja kwalifikowanego i niekwalifikowanego podpisu elektronicznego</w:t>
      </w:r>
    </w:p>
    <w:p>
      <w:pPr>
        <w:pStyle w:val="ListParagraph"/>
        <w:numPr>
          <w:ilvl w:val="0"/>
          <w:numId w:val="22"/>
        </w:numPr>
        <w:spacing w:lineRule="auto" w:line="360"/>
        <w:rPr>
          <w:sz w:val="22"/>
          <w:szCs w:val="22"/>
        </w:rPr>
      </w:pPr>
      <w:r>
        <w:rPr>
          <w:sz w:val="22"/>
          <w:szCs w:val="22"/>
        </w:rPr>
        <w:t>Promocja firm</w:t>
      </w:r>
    </w:p>
    <w:p>
      <w:pPr>
        <w:pStyle w:val="ListParagraph"/>
        <w:numPr>
          <w:ilvl w:val="0"/>
          <w:numId w:val="22"/>
        </w:numPr>
        <w:spacing w:lineRule="auto" w:line="360"/>
        <w:rPr>
          <w:sz w:val="22"/>
          <w:szCs w:val="22"/>
        </w:rPr>
      </w:pPr>
      <w:r>
        <w:rPr>
          <w:sz w:val="22"/>
          <w:szCs w:val="22"/>
        </w:rPr>
        <w:t>Legalizacja dokumentów eksportowych i wystawianie świadectw pochodzenia</w:t>
      </w:r>
    </w:p>
    <w:p>
      <w:pPr>
        <w:pStyle w:val="ListParagraph"/>
        <w:numPr>
          <w:ilvl w:val="0"/>
          <w:numId w:val="22"/>
        </w:numPr>
        <w:spacing w:lineRule="auto" w:line="360"/>
        <w:rPr>
          <w:sz w:val="22"/>
          <w:szCs w:val="22"/>
        </w:rPr>
      </w:pPr>
      <w:r>
        <w:rPr>
          <w:sz w:val="22"/>
          <w:szCs w:val="22"/>
        </w:rPr>
        <w:t xml:space="preserve">Biznesowa przestrzeń do testów - Fab Lab, Living Lab, Demonstration Center </w:t>
      </w:r>
    </w:p>
    <w:p>
      <w:pPr>
        <w:pStyle w:val="ListParagraph"/>
        <w:numPr>
          <w:ilvl w:val="0"/>
          <w:numId w:val="22"/>
        </w:numPr>
        <w:spacing w:lineRule="auto" w:line="360"/>
        <w:rPr>
          <w:sz w:val="22"/>
          <w:szCs w:val="22"/>
        </w:rPr>
      </w:pPr>
      <w:r>
        <w:rPr>
          <w:sz w:val="22"/>
          <w:szCs w:val="22"/>
        </w:rPr>
        <w:t>Współpraca międzynarodowa przez Enterprise Europe Network (EEN), kierowana do mikro, małych i średnich przedsiębiorców</w:t>
      </w:r>
    </w:p>
    <w:p>
      <w:pPr>
        <w:pStyle w:val="Normal"/>
        <w:spacing w:lineRule="auto" w:line="360" w:before="0" w:after="0"/>
        <w:rPr>
          <w:rFonts w:ascii="Times New Roman" w:hAnsi="Times New Roman" w:cs="Times New Roman"/>
        </w:rPr>
      </w:pPr>
      <w:r>
        <w:rPr>
          <w:rFonts w:cs="Times New Roman" w:ascii="Times New Roman" w:hAnsi="Times New Roman"/>
        </w:rPr>
      </w:r>
    </w:p>
    <w:p>
      <w:pPr>
        <w:pStyle w:val="Normal"/>
        <w:spacing w:lineRule="auto" w:line="360" w:before="0" w:after="0"/>
        <w:rPr>
          <w:rFonts w:ascii="Times New Roman" w:hAnsi="Times New Roman" w:cs="Times New Roman"/>
        </w:rPr>
      </w:pPr>
      <w:r>
        <w:rPr>
          <w:rFonts w:cs="Times New Roman" w:ascii="Times New Roman" w:hAnsi="Times New Roman"/>
        </w:rPr>
        <w:t>Kujawsko – Pomorski Fundusz Pożyczkowy</w:t>
      </w:r>
    </w:p>
    <w:p>
      <w:pPr>
        <w:pStyle w:val="Normal"/>
        <w:spacing w:lineRule="auto" w:line="360" w:before="0" w:after="0"/>
        <w:rPr>
          <w:rFonts w:ascii="Times New Roman" w:hAnsi="Times New Roman" w:cs="Times New Roman"/>
        </w:rPr>
      </w:pPr>
      <w:r>
        <w:rPr>
          <w:rFonts w:cs="Times New Roman" w:ascii="Times New Roman" w:hAnsi="Times New Roman"/>
        </w:rPr>
        <w:t xml:space="preserve">Adres: </w:t>
      </w:r>
      <w:hyperlink r:id="rId37">
        <w:r>
          <w:rPr>
            <w:rFonts w:cs="Times New Roman" w:ascii="Times New Roman" w:hAnsi="Times New Roman"/>
            <w:u w:val="single"/>
          </w:rPr>
          <w:t>https://kpfp.org.pl/</w:t>
        </w:r>
      </w:hyperlink>
      <w:r>
        <w:rPr>
          <w:rFonts w:cs="Times New Roman" w:ascii="Times New Roman" w:hAnsi="Times New Roman"/>
        </w:rPr>
        <w:t xml:space="preserve">  </w:t>
      </w:r>
    </w:p>
    <w:p>
      <w:pPr>
        <w:pStyle w:val="Normal"/>
        <w:spacing w:lineRule="auto" w:line="360" w:before="0" w:after="0"/>
        <w:rPr>
          <w:rFonts w:ascii="Times New Roman" w:hAnsi="Times New Roman" w:cs="Times New Roman"/>
        </w:rPr>
      </w:pPr>
      <w:r>
        <w:rPr>
          <w:rFonts w:cs="Times New Roman" w:ascii="Times New Roman" w:hAnsi="Times New Roman"/>
        </w:rPr>
        <w:t>Oferta:</w:t>
      </w:r>
    </w:p>
    <w:p>
      <w:pPr>
        <w:pStyle w:val="Normal"/>
        <w:spacing w:lineRule="auto" w:line="360" w:before="0" w:after="0"/>
        <w:rPr>
          <w:rFonts w:ascii="Times New Roman" w:hAnsi="Times New Roman" w:cs="Times New Roman"/>
        </w:rPr>
      </w:pPr>
      <w:r>
        <w:rPr>
          <w:rFonts w:cs="Times New Roman" w:ascii="Times New Roman" w:hAnsi="Times New Roman"/>
        </w:rPr>
        <w:t xml:space="preserve">Instrumenty wsparcia zwrotnego: </w:t>
      </w:r>
      <w:hyperlink r:id="rId38">
        <w:r>
          <w:rPr>
            <w:rStyle w:val="Czeinternetowe"/>
            <w:rFonts w:cs="Times New Roman" w:ascii="Times New Roman" w:hAnsi="Times New Roman"/>
            <w:color w:val="auto"/>
          </w:rPr>
          <w:t>https://kpfp.org.pl/pozyczki-dla-twojej-firmy/</w:t>
        </w:r>
      </w:hyperlink>
      <w:r>
        <w:rPr>
          <w:rFonts w:cs="Times New Roman" w:ascii="Times New Roman" w:hAnsi="Times New Roman"/>
        </w:rPr>
        <w:t xml:space="preserve"> </w:t>
      </w:r>
    </w:p>
    <w:p>
      <w:pPr>
        <w:pStyle w:val="Normal"/>
        <w:spacing w:lineRule="auto" w:line="360" w:before="0" w:after="0"/>
        <w:rPr>
          <w:rFonts w:ascii="Times New Roman" w:hAnsi="Times New Roman" w:cs="Times New Roman"/>
        </w:rPr>
      </w:pPr>
      <w:r>
        <w:rPr>
          <w:rFonts w:cs="Times New Roman" w:ascii="Times New Roman" w:hAnsi="Times New Roman"/>
        </w:rPr>
        <w:t xml:space="preserve">Granty i dotacje: </w:t>
      </w:r>
      <w:hyperlink r:id="rId39">
        <w:r>
          <w:rPr>
            <w:rStyle w:val="Czeinternetowe"/>
            <w:rFonts w:cs="Times New Roman" w:ascii="Times New Roman" w:hAnsi="Times New Roman"/>
            <w:color w:val="auto"/>
          </w:rPr>
          <w:t>https://kpfp.org.pl/granty-i-dotacje/</w:t>
        </w:r>
      </w:hyperlink>
      <w:r>
        <w:rPr>
          <w:rFonts w:cs="Times New Roman" w:ascii="Times New Roman" w:hAnsi="Times New Roman"/>
        </w:rPr>
        <w:t xml:space="preserve"> </w:t>
      </w:r>
    </w:p>
    <w:p>
      <w:pPr>
        <w:pStyle w:val="Normal"/>
        <w:spacing w:lineRule="auto" w:line="360" w:before="0" w:after="0"/>
        <w:rPr>
          <w:rFonts w:ascii="Times New Roman" w:hAnsi="Times New Roman" w:cs="Times New Roman"/>
        </w:rPr>
      </w:pPr>
      <w:r>
        <w:rPr>
          <w:rFonts w:cs="Times New Roman" w:ascii="Times New Roman" w:hAnsi="Times New Roman"/>
        </w:rPr>
      </w:r>
    </w:p>
    <w:p>
      <w:pPr>
        <w:pStyle w:val="Normal"/>
        <w:spacing w:lineRule="auto" w:line="360" w:before="0" w:after="0"/>
        <w:rPr>
          <w:rFonts w:ascii="Times New Roman" w:hAnsi="Times New Roman" w:cs="Times New Roman"/>
        </w:rPr>
      </w:pPr>
      <w:r>
        <w:rPr>
          <w:rFonts w:cs="Times New Roman" w:ascii="Times New Roman" w:hAnsi="Times New Roman"/>
        </w:rPr>
      </w:r>
    </w:p>
    <w:p>
      <w:pPr>
        <w:pStyle w:val="Normal"/>
        <w:spacing w:lineRule="auto" w:line="360" w:before="0" w:after="0"/>
        <w:rPr>
          <w:rFonts w:ascii="Times New Roman" w:hAnsi="Times New Roman" w:cs="Times New Roman"/>
        </w:rPr>
      </w:pPr>
      <w:r>
        <w:rPr>
          <w:rFonts w:cs="Times New Roman" w:ascii="Times New Roman" w:hAnsi="Times New Roman"/>
        </w:rPr>
      </w:r>
    </w:p>
    <w:p>
      <w:pPr>
        <w:pStyle w:val="ListParagraph"/>
        <w:numPr>
          <w:ilvl w:val="1"/>
          <w:numId w:val="10"/>
        </w:numPr>
        <w:spacing w:lineRule="auto" w:line="360"/>
        <w:ind w:left="284" w:hanging="284"/>
        <w:rPr>
          <w:rFonts w:eastAsia="Calibri"/>
          <w:b/>
          <w:b/>
          <w:sz w:val="22"/>
          <w:szCs w:val="22"/>
        </w:rPr>
      </w:pPr>
      <w:r>
        <w:rPr>
          <w:rFonts w:eastAsia="Calibri"/>
          <w:b/>
          <w:sz w:val="22"/>
          <w:szCs w:val="22"/>
        </w:rPr>
        <w:t>LOKALNE GRUPY DZIAŁANIA</w:t>
      </w:r>
    </w:p>
    <w:p>
      <w:pPr>
        <w:pStyle w:val="Nagwek2"/>
        <w:shd w:val="clear" w:color="auto" w:fill="FFFFFF"/>
        <w:spacing w:lineRule="auto" w:line="360" w:before="0" w:after="0"/>
        <w:rPr>
          <w:rFonts w:ascii="Times New Roman" w:hAnsi="Times New Roman" w:cs="Times New Roman"/>
          <w:sz w:val="22"/>
          <w:szCs w:val="22"/>
        </w:rPr>
      </w:pPr>
      <w:r>
        <w:rPr>
          <w:rFonts w:cs="Times New Roman" w:ascii="Times New Roman" w:hAnsi="Times New Roman"/>
          <w:sz w:val="22"/>
          <w:szCs w:val="22"/>
        </w:rPr>
      </w:r>
    </w:p>
    <w:tbl>
      <w:tblPr>
        <w:tblW w:w="10200" w:type="dxa"/>
        <w:jc w:val="left"/>
        <w:tblInd w:w="0" w:type="dxa"/>
        <w:tblLayout w:type="fixed"/>
        <w:tblCellMar>
          <w:top w:w="15" w:type="dxa"/>
          <w:left w:w="15" w:type="dxa"/>
          <w:bottom w:w="15" w:type="dxa"/>
          <w:right w:w="15" w:type="dxa"/>
        </w:tblCellMar>
        <w:tblLook w:firstRow="1" w:noVBand="1" w:lastRow="0" w:firstColumn="1" w:lastColumn="0" w:noHBand="0" w:val="04a0"/>
      </w:tblPr>
      <w:tblGrid>
        <w:gridCol w:w="389"/>
        <w:gridCol w:w="2207"/>
        <w:gridCol w:w="1555"/>
        <w:gridCol w:w="2920"/>
        <w:gridCol w:w="3129"/>
      </w:tblGrid>
      <w:tr>
        <w:trPr/>
        <w:tc>
          <w:tcPr>
            <w:tcW w:w="389" w:type="dxa"/>
            <w:tcBorders>
              <w:top w:val="single" w:sz="6" w:space="0" w:color="000000"/>
              <w:left w:val="single" w:sz="6" w:space="0" w:color="000000"/>
              <w:bottom w:val="single" w:sz="6" w:space="0" w:color="000000"/>
              <w:right w:val="single" w:sz="6" w:space="0" w:color="000000"/>
            </w:tcBorders>
            <w:shd w:color="auto" w:fill="C7C7C7"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LP</w:t>
            </w:r>
          </w:p>
        </w:tc>
        <w:tc>
          <w:tcPr>
            <w:tcW w:w="2207" w:type="dxa"/>
            <w:tcBorders>
              <w:top w:val="single" w:sz="6" w:space="0" w:color="000000"/>
              <w:left w:val="single" w:sz="6" w:space="0" w:color="000000"/>
              <w:bottom w:val="single" w:sz="6" w:space="0" w:color="000000"/>
              <w:right w:val="single" w:sz="6" w:space="0" w:color="000000"/>
            </w:tcBorders>
            <w:shd w:color="auto" w:fill="C7C7C7"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Nazwa LGD, LGR lub LGD miejskie</w:t>
            </w:r>
          </w:p>
        </w:tc>
        <w:tc>
          <w:tcPr>
            <w:tcW w:w="1555" w:type="dxa"/>
            <w:tcBorders>
              <w:top w:val="single" w:sz="6" w:space="0" w:color="000000"/>
              <w:left w:val="single" w:sz="6" w:space="0" w:color="000000"/>
              <w:bottom w:val="single" w:sz="6" w:space="0" w:color="000000"/>
              <w:right w:val="single" w:sz="6" w:space="0" w:color="000000"/>
            </w:tcBorders>
            <w:shd w:color="auto" w:fill="C7C7C7"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 </w:t>
            </w:r>
            <w:r>
              <w:rPr>
                <w:rFonts w:cs="Times New Roman" w:ascii="Times New Roman" w:hAnsi="Times New Roman"/>
              </w:rPr>
              <w:t>LGD/LGR/LGD miejskie</w:t>
            </w:r>
          </w:p>
        </w:tc>
        <w:tc>
          <w:tcPr>
            <w:tcW w:w="2920" w:type="dxa"/>
            <w:tcBorders>
              <w:top w:val="single" w:sz="6" w:space="0" w:color="000000"/>
              <w:left w:val="single" w:sz="6" w:space="0" w:color="000000"/>
              <w:bottom w:val="single" w:sz="6" w:space="0" w:color="000000"/>
              <w:right w:val="single" w:sz="6" w:space="0" w:color="000000"/>
            </w:tcBorders>
            <w:shd w:color="auto" w:fill="C7C7C7"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adres / adres korespondecyjny</w:t>
            </w:r>
          </w:p>
        </w:tc>
        <w:tc>
          <w:tcPr>
            <w:tcW w:w="3129" w:type="dxa"/>
            <w:tcBorders>
              <w:top w:val="single" w:sz="6" w:space="0" w:color="000000"/>
              <w:left w:val="single" w:sz="6" w:space="0" w:color="000000"/>
              <w:bottom w:val="single" w:sz="6" w:space="0" w:color="000000"/>
              <w:right w:val="single" w:sz="6" w:space="0" w:color="000000"/>
            </w:tcBorders>
            <w:shd w:color="auto" w:fill="C7C7C7"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strona www</w:t>
            </w:r>
          </w:p>
        </w:tc>
      </w:tr>
      <w:tr>
        <w:trPr/>
        <w:tc>
          <w:tcPr>
            <w:tcW w:w="38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1</w:t>
            </w:r>
          </w:p>
        </w:tc>
        <w:tc>
          <w:tcPr>
            <w:tcW w:w="2207"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Stowarzyszenie Lokalna Grupa Działania Miasta Brodnicy</w:t>
            </w:r>
          </w:p>
        </w:tc>
        <w:tc>
          <w:tcPr>
            <w:tcW w:w="1555"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LGD miejskie</w:t>
            </w:r>
          </w:p>
        </w:tc>
        <w:tc>
          <w:tcPr>
            <w:tcW w:w="2920"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ul.Nad Drwęcą 30,</w:t>
              <w:br/>
              <w:t>87-300 Brodnica                       </w:t>
            </w:r>
          </w:p>
        </w:tc>
        <w:tc>
          <w:tcPr>
            <w:tcW w:w="312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hyperlink r:id="rId40">
              <w:r>
                <w:rPr>
                  <w:rStyle w:val="Czeinternetowe"/>
                  <w:rFonts w:cs="Times New Roman" w:ascii="Times New Roman" w:hAnsi="Times New Roman"/>
                  <w:color w:val="auto"/>
                </w:rPr>
                <w:t>www.lgd.brodnica.pl</w:t>
              </w:r>
            </w:hyperlink>
          </w:p>
        </w:tc>
      </w:tr>
      <w:tr>
        <w:trPr/>
        <w:tc>
          <w:tcPr>
            <w:tcW w:w="38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2</w:t>
            </w:r>
          </w:p>
        </w:tc>
        <w:tc>
          <w:tcPr>
            <w:tcW w:w="2207"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Stowarzyszenie Lokalna Grupa Działania "Grudziądzki Spichlerz"</w:t>
            </w:r>
          </w:p>
        </w:tc>
        <w:tc>
          <w:tcPr>
            <w:tcW w:w="1555"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LGD miejskie</w:t>
            </w:r>
          </w:p>
        </w:tc>
        <w:tc>
          <w:tcPr>
            <w:tcW w:w="2920"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ul. Mickiewicza 23,                          86-300 Grudziądz                             </w:t>
            </w:r>
          </w:p>
        </w:tc>
        <w:tc>
          <w:tcPr>
            <w:tcW w:w="312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hyperlink r:id="rId41">
              <w:r>
                <w:rPr>
                  <w:rStyle w:val="Czeinternetowe"/>
                  <w:rFonts w:cs="Times New Roman" w:ascii="Times New Roman" w:hAnsi="Times New Roman"/>
                  <w:color w:val="auto"/>
                </w:rPr>
                <w:t>www.lgd.grudziadz.pl</w:t>
              </w:r>
            </w:hyperlink>
          </w:p>
        </w:tc>
      </w:tr>
      <w:tr>
        <w:trPr/>
        <w:tc>
          <w:tcPr>
            <w:tcW w:w="38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3</w:t>
            </w:r>
          </w:p>
        </w:tc>
        <w:tc>
          <w:tcPr>
            <w:tcW w:w="2207"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Stowarzyszenie Lokalna Grupa Działania Inowrocław</w:t>
            </w:r>
          </w:p>
        </w:tc>
        <w:tc>
          <w:tcPr>
            <w:tcW w:w="1555"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LGD miejskie</w:t>
            </w:r>
          </w:p>
        </w:tc>
        <w:tc>
          <w:tcPr>
            <w:tcW w:w="2920"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ul. Królowej Jadwigi 15,</w:t>
              <w:br/>
              <w:t>88-100 Inowrocław</w:t>
            </w:r>
          </w:p>
        </w:tc>
        <w:tc>
          <w:tcPr>
            <w:tcW w:w="312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hyperlink r:id="rId42">
              <w:r>
                <w:rPr>
                  <w:rStyle w:val="Czeinternetowe"/>
                  <w:rFonts w:cs="Times New Roman" w:ascii="Times New Roman" w:hAnsi="Times New Roman"/>
                  <w:color w:val="auto"/>
                </w:rPr>
                <w:t>www.lgd.inowroclaw.pl</w:t>
              </w:r>
            </w:hyperlink>
          </w:p>
        </w:tc>
      </w:tr>
      <w:tr>
        <w:trPr/>
        <w:tc>
          <w:tcPr>
            <w:tcW w:w="38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4</w:t>
            </w:r>
          </w:p>
        </w:tc>
        <w:tc>
          <w:tcPr>
            <w:tcW w:w="2207"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Lokalna Grupa Działania Miasto Włocławek</w:t>
            </w:r>
          </w:p>
        </w:tc>
        <w:tc>
          <w:tcPr>
            <w:tcW w:w="1555"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LGD miejskie</w:t>
            </w:r>
          </w:p>
        </w:tc>
        <w:tc>
          <w:tcPr>
            <w:tcW w:w="2920"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ul. Żabia 12a,                                    87-800 Włocławek </w:t>
            </w:r>
          </w:p>
        </w:tc>
        <w:tc>
          <w:tcPr>
            <w:tcW w:w="312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hyperlink r:id="rId43">
              <w:r>
                <w:rPr>
                  <w:rStyle w:val="Czeinternetowe"/>
                  <w:rFonts w:cs="Times New Roman" w:ascii="Times New Roman" w:hAnsi="Times New Roman"/>
                  <w:color w:val="auto"/>
                </w:rPr>
                <w:t>www.lgdwloclawek.pl</w:t>
              </w:r>
            </w:hyperlink>
          </w:p>
        </w:tc>
      </w:tr>
      <w:tr>
        <w:trPr/>
        <w:tc>
          <w:tcPr>
            <w:tcW w:w="38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5</w:t>
            </w:r>
          </w:p>
        </w:tc>
        <w:tc>
          <w:tcPr>
            <w:tcW w:w="2207"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Stowarzyszenie Lokalna Grupa Działania Chełmno</w:t>
            </w:r>
          </w:p>
        </w:tc>
        <w:tc>
          <w:tcPr>
            <w:tcW w:w="1555"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LGD miejskie</w:t>
            </w:r>
          </w:p>
        </w:tc>
        <w:tc>
          <w:tcPr>
            <w:tcW w:w="2920"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 </w:t>
            </w:r>
            <w:r>
              <w:rPr>
                <w:rFonts w:cs="Times New Roman" w:ascii="Times New Roman" w:hAnsi="Times New Roman"/>
              </w:rPr>
              <w:t>ul. Dominikańska 35 sala nr 3,</w:t>
              <w:br/>
              <w:t>86-200 Chełmno</w:t>
            </w:r>
          </w:p>
        </w:tc>
        <w:tc>
          <w:tcPr>
            <w:tcW w:w="312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hyperlink r:id="rId44">
              <w:r>
                <w:rPr>
                  <w:rStyle w:val="Czeinternetowe"/>
                  <w:rFonts w:cs="Times New Roman" w:ascii="Times New Roman" w:hAnsi="Times New Roman"/>
                  <w:color w:val="auto"/>
                </w:rPr>
                <w:t>www.lgdchelmno.pl</w:t>
              </w:r>
            </w:hyperlink>
          </w:p>
        </w:tc>
      </w:tr>
      <w:tr>
        <w:trPr/>
        <w:tc>
          <w:tcPr>
            <w:tcW w:w="38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6</w:t>
            </w:r>
          </w:p>
        </w:tc>
        <w:tc>
          <w:tcPr>
            <w:tcW w:w="2207"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Stowarzyszenie Lokalna Grupa działania "Dla Miasta Torunia"</w:t>
            </w:r>
          </w:p>
        </w:tc>
        <w:tc>
          <w:tcPr>
            <w:tcW w:w="1555"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LGD miejskie</w:t>
            </w:r>
          </w:p>
        </w:tc>
        <w:tc>
          <w:tcPr>
            <w:tcW w:w="2920"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Web"/>
              <w:widowControl w:val="false"/>
              <w:spacing w:lineRule="auto" w:line="360" w:beforeAutospacing="0" w:before="0" w:afterAutospacing="0" w:after="0"/>
              <w:rPr>
                <w:sz w:val="22"/>
                <w:szCs w:val="22"/>
              </w:rPr>
            </w:pPr>
            <w:r>
              <w:rPr>
                <w:sz w:val="22"/>
                <w:szCs w:val="22"/>
              </w:rPr>
              <w:t>ul. Wały Gen. Władysława Sikorskiego 8,</w:t>
              <w:br/>
              <w:t>87-100  Toruń</w:t>
            </w:r>
          </w:p>
          <w:p>
            <w:pPr>
              <w:pStyle w:val="NormalWeb"/>
              <w:widowControl w:val="false"/>
              <w:spacing w:lineRule="auto" w:line="360" w:beforeAutospacing="0" w:before="0" w:afterAutospacing="0" w:after="0"/>
              <w:rPr>
                <w:sz w:val="22"/>
                <w:szCs w:val="22"/>
              </w:rPr>
            </w:pPr>
            <w:r>
              <w:rPr>
                <w:sz w:val="22"/>
                <w:szCs w:val="22"/>
              </w:rPr>
              <w:t>Biuro LGD</w:t>
              <w:br/>
              <w:t>ul. Warszawska 8/8</w:t>
              <w:br/>
              <w:t>87-100 Toruń</w:t>
            </w:r>
          </w:p>
        </w:tc>
        <w:tc>
          <w:tcPr>
            <w:tcW w:w="312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hyperlink r:id="rId45">
              <w:r>
                <w:rPr>
                  <w:rStyle w:val="Czeinternetowe"/>
                  <w:rFonts w:cs="Times New Roman" w:ascii="Times New Roman" w:hAnsi="Times New Roman"/>
                  <w:color w:val="auto"/>
                </w:rPr>
                <w:t>www.dlatorunia.pl</w:t>
              </w:r>
            </w:hyperlink>
          </w:p>
        </w:tc>
      </w:tr>
      <w:tr>
        <w:trPr/>
        <w:tc>
          <w:tcPr>
            <w:tcW w:w="38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7</w:t>
            </w:r>
          </w:p>
        </w:tc>
        <w:tc>
          <w:tcPr>
            <w:tcW w:w="2207"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Stowarzyszenie Bydgoska Lokalna Grupa Działania "Dwie Rzeki"</w:t>
            </w:r>
          </w:p>
        </w:tc>
        <w:tc>
          <w:tcPr>
            <w:tcW w:w="1555"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LGD miejskie</w:t>
            </w:r>
          </w:p>
        </w:tc>
        <w:tc>
          <w:tcPr>
            <w:tcW w:w="2920"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ul. Długa 34,</w:t>
              <w:br/>
              <w:t>85-034 Bydgoszcz</w:t>
            </w:r>
          </w:p>
        </w:tc>
        <w:tc>
          <w:tcPr>
            <w:tcW w:w="312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hyperlink r:id="rId46">
              <w:r>
                <w:rPr>
                  <w:rStyle w:val="Czeinternetowe"/>
                  <w:rFonts w:cs="Times New Roman" w:ascii="Times New Roman" w:hAnsi="Times New Roman"/>
                  <w:color w:val="auto"/>
                </w:rPr>
                <w:t>www.lgd.bydgoszcz.pl</w:t>
              </w:r>
            </w:hyperlink>
          </w:p>
        </w:tc>
      </w:tr>
      <w:tr>
        <w:trPr/>
        <w:tc>
          <w:tcPr>
            <w:tcW w:w="38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8</w:t>
            </w:r>
          </w:p>
        </w:tc>
        <w:tc>
          <w:tcPr>
            <w:tcW w:w="2207"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Lokalna Grupa Działania "Gminy Powiatu Świeckiego"</w:t>
            </w:r>
          </w:p>
        </w:tc>
        <w:tc>
          <w:tcPr>
            <w:tcW w:w="1555"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LGD</w:t>
            </w:r>
          </w:p>
        </w:tc>
        <w:tc>
          <w:tcPr>
            <w:tcW w:w="2920"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ul. Chmielniki 2b,</w:t>
              <w:br/>
              <w:t>86-100 Świecie</w:t>
            </w:r>
          </w:p>
        </w:tc>
        <w:tc>
          <w:tcPr>
            <w:tcW w:w="312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hyperlink r:id="rId47">
              <w:r>
                <w:rPr>
                  <w:rStyle w:val="Czeinternetowe"/>
                  <w:rFonts w:cs="Times New Roman" w:ascii="Times New Roman" w:hAnsi="Times New Roman"/>
                  <w:color w:val="auto"/>
                </w:rPr>
                <w:t>www.lgdswiecie.pl</w:t>
              </w:r>
            </w:hyperlink>
          </w:p>
        </w:tc>
      </w:tr>
      <w:tr>
        <w:trPr/>
        <w:tc>
          <w:tcPr>
            <w:tcW w:w="38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9</w:t>
            </w:r>
          </w:p>
        </w:tc>
        <w:tc>
          <w:tcPr>
            <w:tcW w:w="2207"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Stowarzyszenie Lokalna Grupa Działania "Dolina Drwęcy"</w:t>
            </w:r>
          </w:p>
        </w:tc>
        <w:tc>
          <w:tcPr>
            <w:tcW w:w="1555"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LGD</w:t>
            </w:r>
          </w:p>
        </w:tc>
        <w:tc>
          <w:tcPr>
            <w:tcW w:w="2920"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Gałczewo 7,</w:t>
              <w:br/>
              <w:t>87-400 Golub-Dobrzyń                     </w:t>
            </w:r>
          </w:p>
        </w:tc>
        <w:tc>
          <w:tcPr>
            <w:tcW w:w="312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hyperlink r:id="rId48">
              <w:r>
                <w:rPr>
                  <w:rStyle w:val="Czeinternetowe"/>
                  <w:rFonts w:cs="Times New Roman" w:ascii="Times New Roman" w:hAnsi="Times New Roman"/>
                  <w:color w:val="auto"/>
                </w:rPr>
                <w:t>www.lgddolinadrwecy.org.pl</w:t>
              </w:r>
            </w:hyperlink>
          </w:p>
        </w:tc>
      </w:tr>
      <w:tr>
        <w:trPr/>
        <w:tc>
          <w:tcPr>
            <w:tcW w:w="38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10</w:t>
            </w:r>
          </w:p>
        </w:tc>
        <w:tc>
          <w:tcPr>
            <w:tcW w:w="2207"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Partnerstwo "Lokalna Grupa Działania Bory Tucholskie"</w:t>
            </w:r>
          </w:p>
        </w:tc>
        <w:tc>
          <w:tcPr>
            <w:tcW w:w="1555"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LGD</w:t>
            </w:r>
          </w:p>
        </w:tc>
        <w:tc>
          <w:tcPr>
            <w:tcW w:w="2920"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ul. Pocztowa 7,</w:t>
              <w:br/>
              <w:t>89-500 Tuchola                           </w:t>
            </w:r>
          </w:p>
        </w:tc>
        <w:tc>
          <w:tcPr>
            <w:tcW w:w="312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hyperlink r:id="rId49">
              <w:r>
                <w:rPr>
                  <w:rStyle w:val="Czeinternetowe"/>
                  <w:rFonts w:cs="Times New Roman" w:ascii="Times New Roman" w:hAnsi="Times New Roman"/>
                  <w:color w:val="auto"/>
                </w:rPr>
                <w:t>www.lgd.borytucholskie.pl</w:t>
              </w:r>
            </w:hyperlink>
          </w:p>
        </w:tc>
      </w:tr>
      <w:tr>
        <w:trPr/>
        <w:tc>
          <w:tcPr>
            <w:tcW w:w="38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11</w:t>
            </w:r>
          </w:p>
        </w:tc>
        <w:tc>
          <w:tcPr>
            <w:tcW w:w="2207"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Stowarzyszenie Lokalna Grupa Działania Dorzecza Zgłowiączki</w:t>
            </w:r>
          </w:p>
        </w:tc>
        <w:tc>
          <w:tcPr>
            <w:tcW w:w="1555"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LGD</w:t>
            </w:r>
          </w:p>
        </w:tc>
        <w:tc>
          <w:tcPr>
            <w:tcW w:w="2920"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ul. Sikorskiego 12,</w:t>
              <w:br/>
              <w:t>87-850 Choceń                           </w:t>
            </w:r>
          </w:p>
        </w:tc>
        <w:tc>
          <w:tcPr>
            <w:tcW w:w="312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hyperlink r:id="rId50">
              <w:r>
                <w:rPr>
                  <w:rStyle w:val="Czeinternetowe"/>
                  <w:rFonts w:cs="Times New Roman" w:ascii="Times New Roman" w:hAnsi="Times New Roman"/>
                  <w:color w:val="auto"/>
                </w:rPr>
                <w:t>www.kujawiaki.pl</w:t>
              </w:r>
            </w:hyperlink>
          </w:p>
        </w:tc>
      </w:tr>
      <w:tr>
        <w:trPr/>
        <w:tc>
          <w:tcPr>
            <w:tcW w:w="38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12</w:t>
            </w:r>
          </w:p>
        </w:tc>
        <w:tc>
          <w:tcPr>
            <w:tcW w:w="2207"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Stowarzyszenie Lokalna Grupa Działania Gmin Dobrzyńskich Region Północ</w:t>
            </w:r>
          </w:p>
        </w:tc>
        <w:tc>
          <w:tcPr>
            <w:tcW w:w="1555"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LGD</w:t>
            </w:r>
          </w:p>
        </w:tc>
        <w:tc>
          <w:tcPr>
            <w:tcW w:w="2920"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ul. Tadeusza Kościuszki 10,</w:t>
              <w:br/>
              <w:t>87-500 Rypin</w:t>
            </w:r>
          </w:p>
        </w:tc>
        <w:tc>
          <w:tcPr>
            <w:tcW w:w="312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hyperlink r:id="rId51">
              <w:r>
                <w:rPr>
                  <w:rStyle w:val="Czeinternetowe"/>
                  <w:rFonts w:cs="Times New Roman" w:ascii="Times New Roman" w:hAnsi="Times New Roman"/>
                  <w:color w:val="auto"/>
                </w:rPr>
                <w:t>www.elgd.pl</w:t>
              </w:r>
            </w:hyperlink>
          </w:p>
        </w:tc>
      </w:tr>
      <w:tr>
        <w:trPr/>
        <w:tc>
          <w:tcPr>
            <w:tcW w:w="38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13</w:t>
            </w:r>
          </w:p>
        </w:tc>
        <w:tc>
          <w:tcPr>
            <w:tcW w:w="2207"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Stowarzyszenie Lokalna Grupa Działania Czarnoziem na Soli</w:t>
            </w:r>
          </w:p>
        </w:tc>
        <w:tc>
          <w:tcPr>
            <w:tcW w:w="1555"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LGD</w:t>
            </w:r>
          </w:p>
        </w:tc>
        <w:tc>
          <w:tcPr>
            <w:tcW w:w="2920"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ul. Poznańska 133a/106,</w:t>
              <w:br/>
              <w:t>88-100 Inowrocław</w:t>
            </w:r>
          </w:p>
        </w:tc>
        <w:tc>
          <w:tcPr>
            <w:tcW w:w="312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hyperlink r:id="rId52">
              <w:r>
                <w:rPr>
                  <w:rStyle w:val="Czeinternetowe"/>
                  <w:rFonts w:cs="Times New Roman" w:ascii="Times New Roman" w:hAnsi="Times New Roman"/>
                  <w:color w:val="auto"/>
                </w:rPr>
                <w:t>www.czarnoziemnasoli.pl</w:t>
              </w:r>
            </w:hyperlink>
          </w:p>
        </w:tc>
      </w:tr>
      <w:tr>
        <w:trPr/>
        <w:tc>
          <w:tcPr>
            <w:tcW w:w="38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14</w:t>
            </w:r>
          </w:p>
        </w:tc>
        <w:tc>
          <w:tcPr>
            <w:tcW w:w="2207"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Stowarzyszenie Lokalna Grupa Działania Gmin Dobrzyńskich Region Południe</w:t>
            </w:r>
          </w:p>
        </w:tc>
        <w:tc>
          <w:tcPr>
            <w:tcW w:w="1555"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LGD</w:t>
            </w:r>
          </w:p>
        </w:tc>
        <w:tc>
          <w:tcPr>
            <w:tcW w:w="2920"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ul. Szkolna 4,</w:t>
              <w:br/>
              <w:t>87-610 Dobrzyń nad Wisłą</w:t>
            </w:r>
          </w:p>
        </w:tc>
        <w:tc>
          <w:tcPr>
            <w:tcW w:w="312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hyperlink r:id="rId53">
              <w:r>
                <w:rPr>
                  <w:rStyle w:val="Czeinternetowe"/>
                  <w:rFonts w:cs="Times New Roman" w:ascii="Times New Roman" w:hAnsi="Times New Roman"/>
                  <w:color w:val="auto"/>
                </w:rPr>
                <w:t>www.lgddobrzyn.pl</w:t>
              </w:r>
            </w:hyperlink>
          </w:p>
        </w:tc>
      </w:tr>
      <w:tr>
        <w:trPr/>
        <w:tc>
          <w:tcPr>
            <w:tcW w:w="38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15</w:t>
            </w:r>
          </w:p>
        </w:tc>
        <w:tc>
          <w:tcPr>
            <w:tcW w:w="2207"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Stowarzyszenie Nasza Krajna</w:t>
            </w:r>
          </w:p>
        </w:tc>
        <w:tc>
          <w:tcPr>
            <w:tcW w:w="1555"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LGD</w:t>
            </w:r>
          </w:p>
        </w:tc>
        <w:tc>
          <w:tcPr>
            <w:tcW w:w="2920"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ul. Jeziorna 6,</w:t>
              <w:br/>
              <w:t>89-400 Sępólno Krajeńskie</w:t>
            </w:r>
          </w:p>
        </w:tc>
        <w:tc>
          <w:tcPr>
            <w:tcW w:w="312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hyperlink r:id="rId54">
              <w:r>
                <w:rPr>
                  <w:rStyle w:val="Czeinternetowe"/>
                  <w:rFonts w:cs="Times New Roman" w:ascii="Times New Roman" w:hAnsi="Times New Roman"/>
                  <w:color w:val="auto"/>
                </w:rPr>
                <w:t>www.naszakrajna.org</w:t>
              </w:r>
            </w:hyperlink>
          </w:p>
        </w:tc>
      </w:tr>
      <w:tr>
        <w:trPr/>
        <w:tc>
          <w:tcPr>
            <w:tcW w:w="38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16</w:t>
            </w:r>
          </w:p>
        </w:tc>
        <w:tc>
          <w:tcPr>
            <w:tcW w:w="2207"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Stowarzyszenie Lokalna Grupa Rybacka "Nasza Krajna i Pałuki"</w:t>
            </w:r>
          </w:p>
        </w:tc>
        <w:tc>
          <w:tcPr>
            <w:tcW w:w="1555"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LGR</w:t>
            </w:r>
          </w:p>
        </w:tc>
        <w:tc>
          <w:tcPr>
            <w:tcW w:w="2920"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ul.Powstańców Wielkopolskich 6,</w:t>
              <w:br/>
              <w:t>89-100 Nakło nad Notecią</w:t>
            </w:r>
          </w:p>
        </w:tc>
        <w:tc>
          <w:tcPr>
            <w:tcW w:w="312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hyperlink r:id="rId55">
              <w:r>
                <w:rPr>
                  <w:rStyle w:val="Czeinternetowe"/>
                  <w:rFonts w:cs="Times New Roman" w:ascii="Times New Roman" w:hAnsi="Times New Roman"/>
                  <w:color w:val="auto"/>
                </w:rPr>
                <w:t>www.lgrnaklo.org.pl </w:t>
              </w:r>
            </w:hyperlink>
          </w:p>
        </w:tc>
      </w:tr>
      <w:tr>
        <w:trPr/>
        <w:tc>
          <w:tcPr>
            <w:tcW w:w="38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17</w:t>
            </w:r>
          </w:p>
        </w:tc>
        <w:tc>
          <w:tcPr>
            <w:tcW w:w="2207"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Lokalna Grupa Działania Pałuki-Wspólna Sprawa</w:t>
            </w:r>
          </w:p>
        </w:tc>
        <w:tc>
          <w:tcPr>
            <w:tcW w:w="1555"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LGD</w:t>
            </w:r>
          </w:p>
        </w:tc>
        <w:tc>
          <w:tcPr>
            <w:tcW w:w="2920"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Plac Działowy 6,</w:t>
              <w:br/>
              <w:t>88-400 Żnin</w:t>
            </w:r>
          </w:p>
        </w:tc>
        <w:tc>
          <w:tcPr>
            <w:tcW w:w="312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hyperlink r:id="rId56">
              <w:r>
                <w:rPr>
                  <w:rStyle w:val="Czeinternetowe"/>
                  <w:rFonts w:cs="Times New Roman" w:ascii="Times New Roman" w:hAnsi="Times New Roman"/>
                  <w:color w:val="auto"/>
                </w:rPr>
                <w:t>www.lgd-paluki.pl</w:t>
              </w:r>
            </w:hyperlink>
          </w:p>
        </w:tc>
      </w:tr>
      <w:tr>
        <w:trPr/>
        <w:tc>
          <w:tcPr>
            <w:tcW w:w="38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18</w:t>
            </w:r>
          </w:p>
        </w:tc>
        <w:tc>
          <w:tcPr>
            <w:tcW w:w="2207"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Stowarzyszenie "Partnerstwo dla Krajny i Pałuk"</w:t>
            </w:r>
          </w:p>
        </w:tc>
        <w:tc>
          <w:tcPr>
            <w:tcW w:w="1555"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LGD</w:t>
            </w:r>
          </w:p>
        </w:tc>
        <w:tc>
          <w:tcPr>
            <w:tcW w:w="2920"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ul. Powstańców Wielkopolskich 6,</w:t>
              <w:br/>
              <w:t>89-100 Nakło nad Notecią</w:t>
            </w:r>
          </w:p>
        </w:tc>
        <w:tc>
          <w:tcPr>
            <w:tcW w:w="312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hyperlink r:id="rId57">
              <w:r>
                <w:rPr>
                  <w:rStyle w:val="Czeinternetowe"/>
                  <w:rFonts w:cs="Times New Roman" w:ascii="Times New Roman" w:hAnsi="Times New Roman"/>
                  <w:color w:val="auto"/>
                </w:rPr>
                <w:t>www.krajna-paluki.cna.org.pl</w:t>
              </w:r>
            </w:hyperlink>
          </w:p>
        </w:tc>
      </w:tr>
      <w:tr>
        <w:trPr/>
        <w:tc>
          <w:tcPr>
            <w:tcW w:w="38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19</w:t>
            </w:r>
          </w:p>
        </w:tc>
        <w:tc>
          <w:tcPr>
            <w:tcW w:w="2207"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Stowarzyszenie "Partnerstwo dla Ziemi Kujawskiej"</w:t>
            </w:r>
          </w:p>
        </w:tc>
        <w:tc>
          <w:tcPr>
            <w:tcW w:w="1555"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LGD</w:t>
            </w:r>
          </w:p>
        </w:tc>
        <w:tc>
          <w:tcPr>
            <w:tcW w:w="2920"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ul. Narutowicza 3,</w:t>
              <w:br/>
              <w:t>87-700 Aleksandrów Kujawski</w:t>
            </w:r>
          </w:p>
        </w:tc>
        <w:tc>
          <w:tcPr>
            <w:tcW w:w="312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hyperlink r:id="rId58">
              <w:r>
                <w:rPr>
                  <w:rStyle w:val="Czeinternetowe"/>
                  <w:rFonts w:cs="Times New Roman" w:ascii="Times New Roman" w:hAnsi="Times New Roman"/>
                  <w:color w:val="auto"/>
                </w:rPr>
                <w:t>www.ziemiakujawska.pl</w:t>
              </w:r>
            </w:hyperlink>
          </w:p>
        </w:tc>
      </w:tr>
      <w:tr>
        <w:trPr/>
        <w:tc>
          <w:tcPr>
            <w:tcW w:w="38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20</w:t>
            </w:r>
          </w:p>
        </w:tc>
        <w:tc>
          <w:tcPr>
            <w:tcW w:w="2207"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Stowarzyszenie Lokalna Grupa Działania "Podgrodzie Toruńskie"</w:t>
            </w:r>
          </w:p>
        </w:tc>
        <w:tc>
          <w:tcPr>
            <w:tcW w:w="1555"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LGD</w:t>
            </w:r>
          </w:p>
        </w:tc>
        <w:tc>
          <w:tcPr>
            <w:tcW w:w="2920"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ul. Toruńska 24/1,</w:t>
              <w:br/>
              <w:t>87-162 Lubicz  </w:t>
            </w:r>
          </w:p>
        </w:tc>
        <w:tc>
          <w:tcPr>
            <w:tcW w:w="312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hyperlink r:id="rId59">
              <w:r>
                <w:rPr>
                  <w:rStyle w:val="Czeinternetowe"/>
                  <w:rFonts w:cs="Times New Roman" w:ascii="Times New Roman" w:hAnsi="Times New Roman"/>
                  <w:color w:val="auto"/>
                </w:rPr>
                <w:t>www.podgrodzietorunskie.pl</w:t>
              </w:r>
            </w:hyperlink>
          </w:p>
        </w:tc>
      </w:tr>
      <w:tr>
        <w:trPr/>
        <w:tc>
          <w:tcPr>
            <w:tcW w:w="38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21</w:t>
            </w:r>
          </w:p>
        </w:tc>
        <w:tc>
          <w:tcPr>
            <w:tcW w:w="2207"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Stowarzyszenie "Lokalna Grupa Działania Pojezierze Brodnickie"</w:t>
            </w:r>
          </w:p>
        </w:tc>
        <w:tc>
          <w:tcPr>
            <w:tcW w:w="1555"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LGD</w:t>
            </w:r>
          </w:p>
        </w:tc>
        <w:tc>
          <w:tcPr>
            <w:tcW w:w="2920"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Karbowo, ul. Wczasowa 46</w:t>
              <w:br/>
              <w:t>87-300 Brodnica</w:t>
            </w:r>
          </w:p>
        </w:tc>
        <w:tc>
          <w:tcPr>
            <w:tcW w:w="312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hyperlink r:id="rId60">
              <w:r>
                <w:rPr>
                  <w:rStyle w:val="Czeinternetowe"/>
                  <w:rFonts w:cs="Times New Roman" w:ascii="Times New Roman" w:hAnsi="Times New Roman"/>
                  <w:color w:val="auto"/>
                </w:rPr>
                <w:t>www.lgdpojezierzebrodnickie.pl</w:t>
              </w:r>
            </w:hyperlink>
          </w:p>
        </w:tc>
      </w:tr>
      <w:tr>
        <w:trPr/>
        <w:tc>
          <w:tcPr>
            <w:tcW w:w="38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22</w:t>
            </w:r>
          </w:p>
        </w:tc>
        <w:tc>
          <w:tcPr>
            <w:tcW w:w="2207"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Lokalna Grupa działania "Razem dla Powiatu Radziejowskiego"</w:t>
            </w:r>
          </w:p>
        </w:tc>
        <w:tc>
          <w:tcPr>
            <w:tcW w:w="1555"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LGD</w:t>
            </w:r>
          </w:p>
        </w:tc>
        <w:tc>
          <w:tcPr>
            <w:tcW w:w="2920"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ul. Kościuszki 20/22,</w:t>
              <w:br/>
              <w:t>88-200 Radziejów</w:t>
            </w:r>
          </w:p>
        </w:tc>
        <w:tc>
          <w:tcPr>
            <w:tcW w:w="312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hyperlink r:id="rId61">
              <w:r>
                <w:rPr>
                  <w:rStyle w:val="Czeinternetowe"/>
                  <w:rFonts w:cs="Times New Roman" w:ascii="Times New Roman" w:hAnsi="Times New Roman"/>
                  <w:color w:val="auto"/>
                </w:rPr>
                <w:t>www.lgd.com.pl</w:t>
              </w:r>
            </w:hyperlink>
          </w:p>
        </w:tc>
      </w:tr>
      <w:tr>
        <w:trPr/>
        <w:tc>
          <w:tcPr>
            <w:tcW w:w="38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23</w:t>
            </w:r>
          </w:p>
        </w:tc>
        <w:tc>
          <w:tcPr>
            <w:tcW w:w="2207"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Stowarzyszenie Lokalna Grupa Działania Sąsiedzi wokół Szlaku Piastowskiego</w:t>
            </w:r>
          </w:p>
        </w:tc>
        <w:tc>
          <w:tcPr>
            <w:tcW w:w="1555"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LGD</w:t>
            </w:r>
          </w:p>
        </w:tc>
        <w:tc>
          <w:tcPr>
            <w:tcW w:w="2920"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ul. Ogrodowa 10/111,</w:t>
              <w:br/>
              <w:t>88-300 Mogilno</w:t>
            </w:r>
          </w:p>
        </w:tc>
        <w:tc>
          <w:tcPr>
            <w:tcW w:w="312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hyperlink r:id="rId62">
              <w:r>
                <w:rPr>
                  <w:rStyle w:val="Czeinternetowe"/>
                  <w:rFonts w:cs="Times New Roman" w:ascii="Times New Roman" w:hAnsi="Times New Roman"/>
                  <w:color w:val="auto"/>
                </w:rPr>
                <w:t>www.lgdsasiedzi.pl</w:t>
              </w:r>
            </w:hyperlink>
          </w:p>
        </w:tc>
      </w:tr>
      <w:tr>
        <w:trPr/>
        <w:tc>
          <w:tcPr>
            <w:tcW w:w="38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24</w:t>
            </w:r>
          </w:p>
        </w:tc>
        <w:tc>
          <w:tcPr>
            <w:tcW w:w="2207"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Lokalna Grupa Działania "Trzy Doliny"</w:t>
            </w:r>
          </w:p>
        </w:tc>
        <w:tc>
          <w:tcPr>
            <w:tcW w:w="1555"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LGD</w:t>
            </w:r>
          </w:p>
        </w:tc>
        <w:tc>
          <w:tcPr>
            <w:tcW w:w="2920"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Gądecz 33,</w:t>
              <w:br/>
              <w:t>86-022 Dobrcz</w:t>
            </w:r>
          </w:p>
        </w:tc>
        <w:tc>
          <w:tcPr>
            <w:tcW w:w="312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hyperlink r:id="rId63">
              <w:r>
                <w:rPr>
                  <w:rStyle w:val="Czeinternetowe"/>
                  <w:rFonts w:cs="Times New Roman" w:ascii="Times New Roman" w:hAnsi="Times New Roman"/>
                  <w:color w:val="auto"/>
                </w:rPr>
                <w:t>www.trzydoliny.eu</w:t>
              </w:r>
            </w:hyperlink>
          </w:p>
        </w:tc>
      </w:tr>
      <w:tr>
        <w:trPr/>
        <w:tc>
          <w:tcPr>
            <w:tcW w:w="38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25</w:t>
            </w:r>
          </w:p>
        </w:tc>
        <w:tc>
          <w:tcPr>
            <w:tcW w:w="2207"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Lokalna Grupa Działania "Vistula-Terra Culmensis-Rozwój przez Tradycję"</w:t>
            </w:r>
          </w:p>
        </w:tc>
        <w:tc>
          <w:tcPr>
            <w:tcW w:w="1555"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LGD</w:t>
            </w:r>
          </w:p>
        </w:tc>
        <w:tc>
          <w:tcPr>
            <w:tcW w:w="2920"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Sztynwag 46,</w:t>
              <w:br/>
              <w:t>86-302 Sztynwag</w:t>
            </w:r>
          </w:p>
        </w:tc>
        <w:tc>
          <w:tcPr>
            <w:tcW w:w="312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hyperlink r:id="rId64">
              <w:r>
                <w:rPr>
                  <w:rStyle w:val="Czeinternetowe"/>
                  <w:rFonts w:cs="Times New Roman" w:ascii="Times New Roman" w:hAnsi="Times New Roman"/>
                  <w:color w:val="auto"/>
                </w:rPr>
                <w:t>www.lgdvistula.org</w:t>
              </w:r>
            </w:hyperlink>
          </w:p>
        </w:tc>
      </w:tr>
      <w:tr>
        <w:trPr/>
        <w:tc>
          <w:tcPr>
            <w:tcW w:w="38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26</w:t>
            </w:r>
          </w:p>
        </w:tc>
        <w:tc>
          <w:tcPr>
            <w:tcW w:w="2207"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Lokalna Grupa Działania  "Zakole Dolnej Wisły"</w:t>
            </w:r>
          </w:p>
        </w:tc>
        <w:tc>
          <w:tcPr>
            <w:tcW w:w="1555"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LGD</w:t>
            </w:r>
          </w:p>
        </w:tc>
        <w:tc>
          <w:tcPr>
            <w:tcW w:w="2920"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ul. Chełmińska 7b,</w:t>
              <w:br/>
              <w:t>86-253 Kijewo Królewskie</w:t>
            </w:r>
          </w:p>
        </w:tc>
        <w:tc>
          <w:tcPr>
            <w:tcW w:w="312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hyperlink r:id="rId65">
              <w:r>
                <w:rPr>
                  <w:rStyle w:val="Czeinternetowe"/>
                  <w:rFonts w:cs="Times New Roman" w:ascii="Times New Roman" w:hAnsi="Times New Roman"/>
                  <w:color w:val="auto"/>
                </w:rPr>
                <w:t>www.zakolewisly.pl</w:t>
              </w:r>
            </w:hyperlink>
          </w:p>
        </w:tc>
      </w:tr>
      <w:tr>
        <w:trPr/>
        <w:tc>
          <w:tcPr>
            <w:tcW w:w="38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27</w:t>
            </w:r>
          </w:p>
        </w:tc>
        <w:tc>
          <w:tcPr>
            <w:tcW w:w="2207"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Lokalna Grupa Działania Ziemia Gotyku</w:t>
            </w:r>
          </w:p>
        </w:tc>
        <w:tc>
          <w:tcPr>
            <w:tcW w:w="1555"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LGD</w:t>
            </w:r>
          </w:p>
        </w:tc>
        <w:tc>
          <w:tcPr>
            <w:tcW w:w="2920"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Brąchnówko 18,</w:t>
              <w:br/>
              <w:t>87-140 Chełmża</w:t>
            </w:r>
          </w:p>
        </w:tc>
        <w:tc>
          <w:tcPr>
            <w:tcW w:w="312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hyperlink r:id="rId66">
              <w:r>
                <w:rPr>
                  <w:rStyle w:val="Czeinternetowe"/>
                  <w:rFonts w:cs="Times New Roman" w:ascii="Times New Roman" w:hAnsi="Times New Roman"/>
                  <w:color w:val="auto"/>
                </w:rPr>
                <w:t>www.lgd.ziemiagotyku.com</w:t>
              </w:r>
            </w:hyperlink>
          </w:p>
        </w:tc>
      </w:tr>
      <w:tr>
        <w:trPr/>
        <w:tc>
          <w:tcPr>
            <w:tcW w:w="38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28</w:t>
            </w:r>
          </w:p>
        </w:tc>
        <w:tc>
          <w:tcPr>
            <w:tcW w:w="2207"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Stowarzyszenie Lokalna Grupa Działania Ziemia Wąbrzeska</w:t>
            </w:r>
          </w:p>
        </w:tc>
        <w:tc>
          <w:tcPr>
            <w:tcW w:w="1555"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jc w:val="center"/>
              <w:rPr>
                <w:rFonts w:ascii="Times New Roman" w:hAnsi="Times New Roman" w:cs="Times New Roman"/>
              </w:rPr>
            </w:pPr>
            <w:r>
              <w:rPr>
                <w:rFonts w:cs="Times New Roman" w:ascii="Times New Roman" w:hAnsi="Times New Roman"/>
              </w:rPr>
              <w:t>LGD</w:t>
            </w:r>
          </w:p>
        </w:tc>
        <w:tc>
          <w:tcPr>
            <w:tcW w:w="2920"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r>
              <w:rPr>
                <w:rFonts w:cs="Times New Roman" w:ascii="Times New Roman" w:hAnsi="Times New Roman"/>
              </w:rPr>
              <w:t>ul. Mickiewicza 12/1,</w:t>
              <w:br/>
              <w:t>87-200 Wąbrzeźno</w:t>
            </w:r>
          </w:p>
        </w:tc>
        <w:tc>
          <w:tcPr>
            <w:tcW w:w="3129"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pacing w:lineRule="auto" w:line="360" w:before="0" w:after="0"/>
              <w:rPr>
                <w:rFonts w:ascii="Times New Roman" w:hAnsi="Times New Roman" w:cs="Times New Roman"/>
              </w:rPr>
            </w:pPr>
            <w:hyperlink r:id="rId67">
              <w:r>
                <w:rPr>
                  <w:rStyle w:val="Czeinternetowe"/>
                  <w:rFonts w:cs="Times New Roman" w:ascii="Times New Roman" w:hAnsi="Times New Roman"/>
                  <w:color w:val="auto"/>
                </w:rPr>
                <w:t>http://www.lgdwabrzezno.pl</w:t>
              </w:r>
            </w:hyperlink>
          </w:p>
        </w:tc>
      </w:tr>
    </w:tbl>
    <w:p>
      <w:pPr>
        <w:pStyle w:val="NormalWeb"/>
        <w:shd w:val="clear" w:color="auto" w:fill="FFFFFF"/>
        <w:spacing w:lineRule="auto" w:line="360" w:beforeAutospacing="0" w:before="0" w:afterAutospacing="0" w:after="0"/>
        <w:rPr>
          <w:sz w:val="22"/>
          <w:szCs w:val="22"/>
        </w:rPr>
      </w:pPr>
      <w:r>
        <w:rPr>
          <w:sz w:val="22"/>
          <w:szCs w:val="22"/>
        </w:rPr>
        <w:t> </w:t>
      </w:r>
      <w:r>
        <w:rPr>
          <w:sz w:val="22"/>
          <w:szCs w:val="22"/>
        </w:rPr>
        <w:t xml:space="preserve">Źródło: </w:t>
      </w:r>
      <w:hyperlink r:id="rId68">
        <w:r>
          <w:rPr>
            <w:rStyle w:val="Czeinternetowe"/>
            <w:color w:val="auto"/>
            <w:sz w:val="22"/>
            <w:szCs w:val="22"/>
          </w:rPr>
          <w:t>https://www.kujawsko-pomorskie.pl/lista-lgd</w:t>
        </w:r>
      </w:hyperlink>
      <w:r>
        <w:rPr>
          <w:sz w:val="22"/>
          <w:szCs w:val="22"/>
        </w:rPr>
        <w:t xml:space="preserve"> </w:t>
      </w:r>
    </w:p>
    <w:p>
      <w:pPr>
        <w:pStyle w:val="NormalWeb"/>
        <w:shd w:val="clear" w:color="auto" w:fill="FFFFFF"/>
        <w:spacing w:lineRule="auto" w:line="360" w:beforeAutospacing="0" w:before="0" w:afterAutospacing="0" w:after="0"/>
        <w:rPr>
          <w:sz w:val="22"/>
          <w:szCs w:val="22"/>
        </w:rPr>
      </w:pPr>
      <w:r>
        <w:rPr>
          <w:sz w:val="22"/>
          <w:szCs w:val="22"/>
        </w:rPr>
      </w:r>
    </w:p>
    <w:p>
      <w:pPr>
        <w:pStyle w:val="NormalWeb"/>
        <w:shd w:val="clear" w:color="auto" w:fill="FFFFFF"/>
        <w:spacing w:lineRule="auto" w:line="360" w:beforeAutospacing="0" w:before="0" w:afterAutospacing="0" w:after="0"/>
        <w:jc w:val="center"/>
        <w:rPr>
          <w:sz w:val="22"/>
          <w:szCs w:val="22"/>
        </w:rPr>
      </w:pPr>
      <w:r>
        <w:rPr/>
        <w:drawing>
          <wp:inline distT="0" distB="0" distL="0" distR="0">
            <wp:extent cx="5001895" cy="3222625"/>
            <wp:effectExtent l="0" t="0" r="0" b="0"/>
            <wp:docPr id="25" name="Obraz4" descr="Mapa LGD">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4" descr="Mapa LGD">
                      <a:hlinkClick r:id="rId70"/>
                    </pic:cNvPr>
                    <pic:cNvPicPr>
                      <a:picLocks noChangeAspect="1" noChangeArrowheads="1"/>
                    </pic:cNvPicPr>
                  </pic:nvPicPr>
                  <pic:blipFill>
                    <a:blip r:embed="rId69"/>
                    <a:stretch>
                      <a:fillRect/>
                    </a:stretch>
                  </pic:blipFill>
                  <pic:spPr bwMode="auto">
                    <a:xfrm>
                      <a:off x="0" y="0"/>
                      <a:ext cx="5001895" cy="3222625"/>
                    </a:xfrm>
                    <a:prstGeom prst="rect">
                      <a:avLst/>
                    </a:prstGeom>
                  </pic:spPr>
                </pic:pic>
              </a:graphicData>
            </a:graphic>
          </wp:inline>
        </w:drawing>
      </w:r>
    </w:p>
    <w:p>
      <w:pPr>
        <w:pStyle w:val="Normal"/>
        <w:spacing w:lineRule="auto" w:line="360" w:before="0" w:after="0"/>
        <w:rPr>
          <w:rFonts w:ascii="Times New Roman" w:hAnsi="Times New Roman" w:eastAsia="Calibri" w:cs="Times New Roman"/>
        </w:rPr>
      </w:pPr>
      <w:r>
        <w:rPr>
          <w:rFonts w:eastAsia="Calibri" w:cs="Times New Roman" w:ascii="Times New Roman" w:hAnsi="Times New Roman"/>
        </w:rPr>
      </w:r>
    </w:p>
    <w:p>
      <w:pPr>
        <w:pStyle w:val="Normal"/>
        <w:spacing w:lineRule="auto" w:line="360" w:before="0" w:after="0"/>
        <w:rPr>
          <w:rFonts w:ascii="Times New Roman" w:hAnsi="Times New Roman" w:cs="Times New Roman"/>
        </w:rPr>
      </w:pPr>
      <w:r>
        <w:rPr/>
      </w:r>
    </w:p>
    <w:sectPr>
      <w:footnotePr>
        <w:numFmt w:val="decimal"/>
      </w:footnotePr>
      <w:type w:val="nextPage"/>
      <w:pgSz w:w="11906" w:h="16838"/>
      <w:pgMar w:left="1417" w:right="1417" w:header="0" w:top="1417" w:footer="0"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Cambria">
    <w:charset w:val="ee"/>
    <w:family w:val="roman"/>
    <w:pitch w:val="variable"/>
  </w:font>
  <w:font w:name="Times New Roman">
    <w:charset w:val="ee"/>
    <w:family w:val="roman"/>
    <w:pitch w:val="variable"/>
  </w:font>
  <w:font w:name="Liberation Sans">
    <w:altName w:val="Arial"/>
    <w:charset w:val="ee"/>
    <w:family w:val="roman"/>
    <w:pitch w:val="variable"/>
  </w:font>
  <w:font w:name="Courier New">
    <w:charset w:val="01"/>
    <w:family w:val="modern"/>
    <w:pitch w:val="fixed"/>
  </w:font>
  <w:font w:name="Wingdings">
    <w:charset w:val="02"/>
    <w:family w:val="auto"/>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Przypisdolny"/>
        <w:rPr/>
      </w:pPr>
      <w:r>
        <w:rPr>
          <w:rStyle w:val="Znakiprzypiswdolnych"/>
        </w:rPr>
        <w:footnoteRef/>
      </w:r>
      <w:r>
        <w:rPr/>
        <w:t xml:space="preserve"> </w:t>
      </w:r>
      <w:r>
        <w:rPr/>
        <w:t>https://przetargowa.pl/fundusze-europejskie-2021-2027-co-nas-czeka-w-nowej-perspektywie-finansowej/</w:t>
      </w:r>
    </w:p>
  </w:footnote>
  <w:footnote w:id="3">
    <w:p>
      <w:pPr>
        <w:pStyle w:val="Przypisdolny"/>
        <w:rPr/>
      </w:pPr>
      <w:r>
        <w:rPr>
          <w:rStyle w:val="Znakiprzypiswdolnych"/>
        </w:rPr>
        <w:footnoteRef/>
      </w:r>
      <w:r>
        <w:rPr/>
        <w:t xml:space="preserve"> </w:t>
      </w:r>
      <w:r>
        <w:rPr/>
        <w:t>https://mojregion.eu/rpo/projekt-rpo-2021-2027/</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lvl w:ilvl="0">
      <w:start w:val="8"/>
      <w:numFmt w:val="decimal"/>
      <w:lvlText w:val="%1."/>
      <w:lvlJc w:val="left"/>
      <w:pPr>
        <w:tabs>
          <w:tab w:val="num" w:pos="720"/>
        </w:tabs>
        <w:ind w:left="720" w:hanging="360"/>
      </w:pPr>
    </w:lvl>
    <w:lvl w:ilvl="1">
      <w:start w:val="1"/>
      <w:numFmt w:val="decimal"/>
      <w:lvlText w:val="%2)"/>
      <w:lvlJc w:val="left"/>
      <w:pPr>
        <w:tabs>
          <w:tab w:val="num" w:pos="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24">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25">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26">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27">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28">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29">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30">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31">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32">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33">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43">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44">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45">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46">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47">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48">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49">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0">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1">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2">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3">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54">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5">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56">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57">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8">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9">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0">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1">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2">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3">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4">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5">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6">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7">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8">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9">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70">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71">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72">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73">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7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23"/>
  </w:num>
  <w:num w:numId="80">
    <w:abstractNumId w:val="23"/>
  </w:num>
  <w:num w:numId="81">
    <w:abstractNumId w:val="24"/>
  </w:num>
  <w:num w:numId="82">
    <w:abstractNumId w:val="24"/>
  </w:num>
  <w:num w:numId="83">
    <w:abstractNumId w:val="24"/>
  </w:num>
  <w:num w:numId="84">
    <w:abstractNumId w:val="24"/>
  </w:num>
  <w:num w:numId="85">
    <w:abstractNumId w:val="25"/>
  </w:num>
  <w:num w:numId="86">
    <w:abstractNumId w:val="25"/>
  </w:num>
  <w:num w:numId="87">
    <w:abstractNumId w:val="26"/>
  </w:num>
  <w:num w:numId="88">
    <w:abstractNumId w:val="26"/>
  </w:num>
  <w:num w:numId="89">
    <w:abstractNumId w:val="27"/>
  </w:num>
  <w:num w:numId="90">
    <w:abstractNumId w:val="53"/>
    <w:lvlOverride w:ilvl="0">
      <w:startOverride w:val="1"/>
    </w:lvlOverride>
  </w:num>
  <w:num w:numId="91">
    <w:abstractNumId w:val="28"/>
  </w:num>
  <w:num w:numId="92">
    <w:abstractNumId w:val="53"/>
  </w:num>
  <w:num w:numId="93">
    <w:abstractNumId w:val="53"/>
  </w:num>
  <w:num w:numId="94">
    <w:abstractNumId w:val="29"/>
  </w:num>
  <w:num w:numId="95">
    <w:abstractNumId w:val="29"/>
  </w:num>
  <w:num w:numId="96">
    <w:abstractNumId w:val="30"/>
  </w:num>
  <w:num w:numId="97">
    <w:abstractNumId w:val="30"/>
  </w:num>
  <w:num w:numId="98">
    <w:abstractNumId w:val="30"/>
  </w:num>
  <w:num w:numId="99">
    <w:abstractNumId w:val="30"/>
  </w:num>
  <w:num w:numId="100">
    <w:abstractNumId w:val="30"/>
  </w:num>
  <w:num w:numId="101">
    <w:abstractNumId w:val="31"/>
  </w:num>
  <w:num w:numId="102">
    <w:abstractNumId w:val="31"/>
  </w:num>
  <w:num w:numId="103">
    <w:abstractNumId w:val="31"/>
  </w:num>
  <w:num w:numId="104">
    <w:abstractNumId w:val="31"/>
  </w:num>
  <w:num w:numId="105">
    <w:abstractNumId w:val="32"/>
  </w:num>
  <w:num w:numId="106">
    <w:abstractNumId w:val="32"/>
  </w:num>
  <w:num w:numId="107">
    <w:abstractNumId w:val="32"/>
  </w:num>
  <w:num w:numId="108">
    <w:abstractNumId w:val="32"/>
  </w:num>
  <w:num w:numId="109">
    <w:abstractNumId w:val="33"/>
  </w:num>
  <w:num w:numId="110">
    <w:abstractNumId w:val="33"/>
  </w:num>
  <w:num w:numId="111">
    <w:abstractNumId w:val="74"/>
    <w:lvlOverride w:ilvl="0">
      <w:startOverride w:val="1"/>
    </w:lvlOverride>
  </w:num>
  <w:num w:numId="112">
    <w:abstractNumId w:val="74"/>
  </w:num>
  <w:num w:numId="113">
    <w:abstractNumId w:val="74"/>
  </w:num>
  <w:num w:numId="114">
    <w:abstractNumId w:val="77"/>
    <w:lvlOverride w:ilvl="0">
      <w:startOverride w:val="1"/>
    </w:lvlOverride>
  </w:num>
</w:numbering>
</file>

<file path=word/settings.xml><?xml version="1.0" encoding="utf-8"?>
<w:settings xmlns:w="http://schemas.openxmlformats.org/wordprocessingml/2006/main">
  <w:zoom w:percent="100"/>
  <w:defaultTabStop w:val="708"/>
  <w:autoHyphenation w:val="tru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pl-P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pl-PL"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655fd"/>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pl-PL" w:eastAsia="en-US" w:bidi="ar-SA"/>
    </w:rPr>
  </w:style>
  <w:style w:type="paragraph" w:styleId="Nagwek1">
    <w:name w:val="Heading 1"/>
    <w:basedOn w:val="Normal"/>
    <w:next w:val="Normal"/>
    <w:link w:val="Nagwek1Znak"/>
    <w:uiPriority w:val="9"/>
    <w:qFormat/>
    <w:rsid w:val="008304fe"/>
    <w:pPr>
      <w:keepNext w:val="true"/>
      <w:keepLines/>
      <w:spacing w:before="240" w:after="0"/>
      <w:outlineLvl w:val="0"/>
    </w:pPr>
    <w:rPr>
      <w:rFonts w:ascii="Cambria" w:hAnsi="Cambria" w:eastAsia="" w:cs="" w:asciiTheme="majorHAnsi" w:cstheme="majorBidi" w:eastAsiaTheme="majorEastAsia" w:hAnsiTheme="majorHAnsi"/>
      <w:color w:val="365F91" w:themeColor="accent1" w:themeShade="bf"/>
      <w:sz w:val="32"/>
      <w:szCs w:val="32"/>
    </w:rPr>
  </w:style>
  <w:style w:type="paragraph" w:styleId="Nagwek2">
    <w:name w:val="Heading 2"/>
    <w:basedOn w:val="Normal"/>
    <w:next w:val="Normal"/>
    <w:link w:val="Nagwek2Znak"/>
    <w:uiPriority w:val="9"/>
    <w:unhideWhenUsed/>
    <w:qFormat/>
    <w:rsid w:val="002f0e5d"/>
    <w:pPr>
      <w:keepNext w:val="true"/>
      <w:keepLines/>
      <w:spacing w:before="360" w:after="120"/>
      <w:outlineLvl w:val="1"/>
    </w:pPr>
    <w:rPr>
      <w:rFonts w:ascii="Cambria" w:hAnsi="Cambria" w:eastAsia="Arial" w:cs="Cambria" w:asciiTheme="majorHAnsi" w:cstheme="majorHAnsi" w:hAnsiTheme="majorHAnsi"/>
      <w:sz w:val="28"/>
      <w:szCs w:val="28"/>
      <w:lang w:val="pl" w:eastAsia="pl-PL"/>
    </w:rPr>
  </w:style>
  <w:style w:type="paragraph" w:styleId="Nagwek3">
    <w:name w:val="Heading 3"/>
    <w:basedOn w:val="Normal"/>
    <w:next w:val="Normal"/>
    <w:link w:val="Nagwek3Znak"/>
    <w:uiPriority w:val="9"/>
    <w:unhideWhenUsed/>
    <w:qFormat/>
    <w:rsid w:val="002f0e5d"/>
    <w:pPr>
      <w:keepNext w:val="true"/>
      <w:keepLines/>
      <w:spacing w:before="320" w:after="80"/>
      <w:outlineLvl w:val="2"/>
    </w:pPr>
    <w:rPr>
      <w:rFonts w:ascii="Cambria" w:hAnsi="Cambria" w:eastAsia="Arial" w:cs="Cambria" w:asciiTheme="majorHAnsi" w:cstheme="majorHAnsi" w:hAnsiTheme="majorHAnsi"/>
      <w:b/>
      <w:bCs/>
      <w:color w:val="434343"/>
      <w:sz w:val="24"/>
      <w:szCs w:val="24"/>
      <w:lang w:val="pl" w:eastAsia="pl-PL"/>
    </w:rPr>
  </w:style>
  <w:style w:type="character" w:styleId="DefaultParagraphFont" w:default="1">
    <w:name w:val="Default Paragraph Font"/>
    <w:uiPriority w:val="1"/>
    <w:semiHidden/>
    <w:unhideWhenUsed/>
    <w:qFormat/>
    <w:rPr/>
  </w:style>
  <w:style w:type="character" w:styleId="Nagwek2Znak" w:customStyle="1">
    <w:name w:val="Nagłówek 2 Znak"/>
    <w:basedOn w:val="DefaultParagraphFont"/>
    <w:link w:val="Nagwek2"/>
    <w:uiPriority w:val="9"/>
    <w:qFormat/>
    <w:rsid w:val="002f0e5d"/>
    <w:rPr>
      <w:rFonts w:ascii="Cambria" w:hAnsi="Cambria" w:eastAsia="Arial" w:cs="Cambria" w:asciiTheme="majorHAnsi" w:cstheme="majorHAnsi" w:hAnsiTheme="majorHAnsi"/>
      <w:sz w:val="28"/>
      <w:szCs w:val="28"/>
      <w:lang w:val="pl" w:eastAsia="pl-PL"/>
    </w:rPr>
  </w:style>
  <w:style w:type="character" w:styleId="Nagwek3Znak" w:customStyle="1">
    <w:name w:val="Nagłówek 3 Znak"/>
    <w:basedOn w:val="DefaultParagraphFont"/>
    <w:link w:val="Nagwek3"/>
    <w:uiPriority w:val="9"/>
    <w:qFormat/>
    <w:rsid w:val="002f0e5d"/>
    <w:rPr>
      <w:rFonts w:ascii="Cambria" w:hAnsi="Cambria" w:eastAsia="Arial" w:cs="Cambria" w:asciiTheme="majorHAnsi" w:cstheme="majorHAnsi" w:hAnsiTheme="majorHAnsi"/>
      <w:b/>
      <w:bCs/>
      <w:color w:val="434343"/>
      <w:sz w:val="24"/>
      <w:szCs w:val="24"/>
      <w:lang w:val="pl" w:eastAsia="pl-PL"/>
    </w:rPr>
  </w:style>
  <w:style w:type="character" w:styleId="Nagwek1Znak" w:customStyle="1">
    <w:name w:val="Nagłówek 1 Znak"/>
    <w:basedOn w:val="DefaultParagraphFont"/>
    <w:link w:val="Nagwek1"/>
    <w:uiPriority w:val="9"/>
    <w:qFormat/>
    <w:rsid w:val="008304fe"/>
    <w:rPr>
      <w:rFonts w:ascii="Cambria" w:hAnsi="Cambria" w:eastAsia="" w:cs="" w:asciiTheme="majorHAnsi" w:cstheme="majorBidi" w:eastAsiaTheme="majorEastAsia" w:hAnsiTheme="majorHAnsi"/>
      <w:color w:val="365F91" w:themeColor="accent1" w:themeShade="bf"/>
      <w:sz w:val="32"/>
      <w:szCs w:val="32"/>
    </w:rPr>
  </w:style>
  <w:style w:type="character" w:styleId="Czeinternetowe">
    <w:name w:val="Łącze internetowe"/>
    <w:basedOn w:val="DefaultParagraphFont"/>
    <w:uiPriority w:val="99"/>
    <w:unhideWhenUsed/>
    <w:rsid w:val="008304fe"/>
    <w:rPr>
      <w:color w:val="0000FF" w:themeColor="hyperlink"/>
      <w:u w:val="single"/>
    </w:rPr>
  </w:style>
  <w:style w:type="character" w:styleId="Normaltextrun" w:customStyle="1">
    <w:name w:val="normaltextrun"/>
    <w:basedOn w:val="DefaultParagraphFont"/>
    <w:qFormat/>
    <w:rsid w:val="00b7441e"/>
    <w:rPr/>
  </w:style>
  <w:style w:type="character" w:styleId="TekstprzypisudolnegoZnak" w:customStyle="1">
    <w:name w:val="Tekst przypisu dolnego Znak"/>
    <w:basedOn w:val="DefaultParagraphFont"/>
    <w:link w:val="Tekstprzypisudolnego"/>
    <w:uiPriority w:val="99"/>
    <w:semiHidden/>
    <w:qFormat/>
    <w:rsid w:val="00ee64da"/>
    <w:rPr>
      <w:rFonts w:ascii="Times New Roman" w:hAnsi="Times New Roman" w:eastAsia="Times New Roman" w:cs="Times New Roman"/>
      <w:sz w:val="20"/>
      <w:szCs w:val="20"/>
      <w:lang w:eastAsia="pl-PL"/>
    </w:rPr>
  </w:style>
  <w:style w:type="character" w:styleId="Zakotwiczenieprzypisudolnego">
    <w:name w:val="Zakotwiczenie przypisu dolnego"/>
    <w:rPr>
      <w:vertAlign w:val="superscript"/>
    </w:rPr>
  </w:style>
  <w:style w:type="character" w:styleId="FootnoteCharacters">
    <w:name w:val="Footnote Characters"/>
    <w:basedOn w:val="DefaultParagraphFont"/>
    <w:uiPriority w:val="99"/>
    <w:semiHidden/>
    <w:unhideWhenUsed/>
    <w:qFormat/>
    <w:rsid w:val="00ee64da"/>
    <w:rPr>
      <w:vertAlign w:val="superscript"/>
    </w:rPr>
  </w:style>
  <w:style w:type="character" w:styleId="Czeindeksu">
    <w:name w:val="Łącze indeksu"/>
    <w:qFormat/>
    <w:rPr/>
  </w:style>
  <w:style w:type="character" w:styleId="Znakiprzypiswdolnych">
    <w:name w:val="Znaki przypisów dolnych"/>
    <w:qFormat/>
    <w:rPr/>
  </w:style>
  <w:style w:type="character" w:styleId="Zakotwiczenieprzypisukocowego">
    <w:name w:val="Zakotwiczenie przypisu końcowego"/>
    <w:rPr>
      <w:vertAlign w:val="superscript"/>
    </w:rPr>
  </w:style>
  <w:style w:type="character" w:styleId="Znakiprzypiswkocowych">
    <w:name w:val="Znaki przypisów końcowych"/>
    <w:qFormat/>
    <w:rPr/>
  </w:style>
  <w:style w:type="paragraph" w:styleId="Nagwek">
    <w:name w:val="Nagłówek"/>
    <w:basedOn w:val="Normal"/>
    <w:next w:val="Tretekstu"/>
    <w:qFormat/>
    <w:pPr>
      <w:keepNext w:val="true"/>
      <w:spacing w:before="240" w:after="120"/>
    </w:pPr>
    <w:rPr>
      <w:rFonts w:ascii="Liberation Sans" w:hAnsi="Liberation Sans" w:eastAsia="Microsoft YaHei" w:cs="Arial"/>
      <w:sz w:val="28"/>
      <w:szCs w:val="28"/>
    </w:rPr>
  </w:style>
  <w:style w:type="paragraph" w:styleId="Tretekstu">
    <w:name w:val="Body Text"/>
    <w:basedOn w:val="Normal"/>
    <w:pPr>
      <w:spacing w:lineRule="auto" w:line="276" w:before="0" w:after="140"/>
    </w:pPr>
    <w:rPr/>
  </w:style>
  <w:style w:type="paragraph" w:styleId="Lista">
    <w:name w:val="List"/>
    <w:basedOn w:val="Tretekstu"/>
    <w:pPr/>
    <w:rPr>
      <w:rFonts w:cs="Arial"/>
    </w:rPr>
  </w:style>
  <w:style w:type="paragraph" w:styleId="Podpis">
    <w:name w:val="Caption"/>
    <w:basedOn w:val="Normal"/>
    <w:qFormat/>
    <w:pPr>
      <w:suppressLineNumbers/>
      <w:spacing w:before="120" w:after="120"/>
    </w:pPr>
    <w:rPr>
      <w:rFonts w:cs="Arial"/>
      <w:i/>
      <w:iCs/>
      <w:sz w:val="24"/>
      <w:szCs w:val="24"/>
    </w:rPr>
  </w:style>
  <w:style w:type="paragraph" w:styleId="Indeks">
    <w:name w:val="Indeks"/>
    <w:basedOn w:val="Normal"/>
    <w:qFormat/>
    <w:pPr>
      <w:suppressLineNumbers/>
    </w:pPr>
    <w:rPr>
      <w:rFonts w:cs="Arial"/>
    </w:rPr>
  </w:style>
  <w:style w:type="paragraph" w:styleId="ListParagraph">
    <w:name w:val="List Paragraph"/>
    <w:basedOn w:val="Normal"/>
    <w:qFormat/>
    <w:rsid w:val="002f0e5d"/>
    <w:pPr>
      <w:spacing w:lineRule="auto" w:line="240" w:before="0" w:after="0"/>
      <w:ind w:left="720" w:hanging="0"/>
      <w:contextualSpacing/>
    </w:pPr>
    <w:rPr>
      <w:rFonts w:ascii="Times New Roman" w:hAnsi="Times New Roman" w:eastAsia="Times New Roman" w:cs="Times New Roman"/>
      <w:sz w:val="24"/>
      <w:szCs w:val="24"/>
      <w:lang w:eastAsia="pl-PL"/>
    </w:rPr>
  </w:style>
  <w:style w:type="paragraph" w:styleId="Caption">
    <w:name w:val="caption"/>
    <w:basedOn w:val="Normal"/>
    <w:next w:val="Normal"/>
    <w:unhideWhenUsed/>
    <w:qFormat/>
    <w:rsid w:val="002f0e5d"/>
    <w:pPr>
      <w:spacing w:lineRule="auto" w:line="240"/>
    </w:pPr>
    <w:rPr>
      <w:rFonts w:ascii="Cambria" w:hAnsi="Cambria" w:eastAsia="Times New Roman" w:cs="Cambria" w:asciiTheme="majorHAnsi" w:cstheme="majorHAnsi" w:hAnsiTheme="majorHAnsi"/>
      <w:color w:val="1F497D" w:themeColor="text2"/>
      <w:lang w:eastAsia="pl-PL"/>
    </w:rPr>
  </w:style>
  <w:style w:type="paragraph" w:styleId="TOCHeading">
    <w:name w:val="TOC Heading"/>
    <w:basedOn w:val="Nagwek1"/>
    <w:next w:val="Normal"/>
    <w:uiPriority w:val="39"/>
    <w:unhideWhenUsed/>
    <w:qFormat/>
    <w:rsid w:val="008304fe"/>
    <w:pPr>
      <w:spacing w:lineRule="auto" w:line="259"/>
    </w:pPr>
    <w:rPr>
      <w:lang w:eastAsia="pl-PL"/>
    </w:rPr>
  </w:style>
  <w:style w:type="paragraph" w:styleId="Spistreci2">
    <w:name w:val="TOC 2"/>
    <w:basedOn w:val="Normal"/>
    <w:next w:val="Normal"/>
    <w:autoRedefine/>
    <w:uiPriority w:val="39"/>
    <w:unhideWhenUsed/>
    <w:rsid w:val="008304fe"/>
    <w:pPr>
      <w:spacing w:before="0" w:after="100"/>
      <w:ind w:left="220" w:hanging="0"/>
    </w:pPr>
    <w:rPr/>
  </w:style>
  <w:style w:type="paragraph" w:styleId="Spistreci3">
    <w:name w:val="TOC 3"/>
    <w:basedOn w:val="Normal"/>
    <w:next w:val="Normal"/>
    <w:autoRedefine/>
    <w:uiPriority w:val="39"/>
    <w:unhideWhenUsed/>
    <w:rsid w:val="009104bf"/>
    <w:pPr>
      <w:tabs>
        <w:tab w:val="clear" w:pos="708"/>
        <w:tab w:val="right" w:pos="9062" w:leader="dot"/>
      </w:tabs>
      <w:spacing w:lineRule="auto" w:line="360" w:before="0" w:after="0"/>
      <w:ind w:left="426" w:hanging="300"/>
    </w:pPr>
    <w:rPr/>
  </w:style>
  <w:style w:type="paragraph" w:styleId="Spistreci1">
    <w:name w:val="TOC 1"/>
    <w:basedOn w:val="Normal"/>
    <w:next w:val="Normal"/>
    <w:autoRedefine/>
    <w:uiPriority w:val="39"/>
    <w:unhideWhenUsed/>
    <w:rsid w:val="008304fe"/>
    <w:pPr>
      <w:spacing w:lineRule="auto" w:line="259" w:before="0" w:after="100"/>
    </w:pPr>
    <w:rPr>
      <w:rFonts w:eastAsia="" w:cs="Times New Roman" w:eastAsiaTheme="minorEastAsia"/>
      <w:lang w:eastAsia="pl-PL"/>
    </w:rPr>
  </w:style>
  <w:style w:type="paragraph" w:styleId="Paragraph" w:customStyle="1">
    <w:name w:val="paragraph"/>
    <w:basedOn w:val="Normal"/>
    <w:qFormat/>
    <w:rsid w:val="00b7441e"/>
    <w:pPr>
      <w:spacing w:lineRule="auto" w:line="240" w:beforeAutospacing="1" w:afterAutospacing="1"/>
    </w:pPr>
    <w:rPr>
      <w:rFonts w:ascii="Times New Roman" w:hAnsi="Times New Roman" w:eastAsia="Times New Roman" w:cs="Times New Roman"/>
      <w:sz w:val="24"/>
      <w:szCs w:val="24"/>
      <w:lang w:eastAsia="pl-PL"/>
    </w:rPr>
  </w:style>
  <w:style w:type="paragraph" w:styleId="NormalWeb">
    <w:name w:val="Normal (Web)"/>
    <w:basedOn w:val="Normal"/>
    <w:uiPriority w:val="99"/>
    <w:unhideWhenUsed/>
    <w:qFormat/>
    <w:rsid w:val="00ee64da"/>
    <w:pPr>
      <w:spacing w:lineRule="auto" w:line="240" w:beforeAutospacing="1" w:afterAutospacing="1"/>
    </w:pPr>
    <w:rPr>
      <w:rFonts w:ascii="Times New Roman" w:hAnsi="Times New Roman" w:eastAsia="Times New Roman" w:cs="Times New Roman"/>
      <w:sz w:val="24"/>
      <w:szCs w:val="24"/>
      <w:lang w:eastAsia="pl-PL"/>
    </w:rPr>
  </w:style>
  <w:style w:type="paragraph" w:styleId="Przypisdolny">
    <w:name w:val="Footnote Text"/>
    <w:basedOn w:val="Normal"/>
    <w:link w:val="TekstprzypisudolnegoZnak"/>
    <w:uiPriority w:val="99"/>
    <w:semiHidden/>
    <w:unhideWhenUsed/>
    <w:rsid w:val="00ee64da"/>
    <w:pPr>
      <w:spacing w:lineRule="auto" w:line="240" w:before="0" w:after="0"/>
    </w:pPr>
    <w:rPr>
      <w:rFonts w:ascii="Times New Roman" w:hAnsi="Times New Roman" w:eastAsia="Times New Roman" w:cs="Times New Roman"/>
      <w:sz w:val="20"/>
      <w:szCs w:val="20"/>
      <w:lang w:eastAsia="pl-PL"/>
    </w:rPr>
  </w:style>
  <w:style w:type="paragraph" w:styleId="Standard" w:customStyle="1">
    <w:name w:val="Standard"/>
    <w:qFormat/>
    <w:rsid w:val="007c5d11"/>
    <w:pPr>
      <w:widowControl/>
      <w:suppressAutoHyphens w:val="true"/>
      <w:bidi w:val="0"/>
      <w:spacing w:lineRule="auto" w:line="240" w:before="0" w:after="0"/>
      <w:jc w:val="left"/>
      <w:textAlignment w:val="baseline"/>
    </w:pPr>
    <w:rPr>
      <w:rFonts w:ascii="Liberation Serif" w:hAnsi="Liberation Serif" w:eastAsia="NSimSun" w:cs="Arial"/>
      <w:color w:val="auto"/>
      <w:kern w:val="2"/>
      <w:sz w:val="24"/>
      <w:szCs w:val="24"/>
      <w:lang w:val="pl-PL" w:eastAsia="zh-CN" w:bidi="hi-IN"/>
    </w:rPr>
  </w:style>
  <w:style w:type="numbering" w:styleId="NoList" w:default="1">
    <w:name w:val="No List"/>
    <w:uiPriority w:val="99"/>
    <w:semiHidden/>
    <w:unhideWhenUsed/>
    <w:qFormat/>
  </w:style>
  <w:style w:type="table" w:default="1" w:styleId="Standardowy">
    <w:name w:val="Normal Table"/>
    <w:uiPriority w:val="99"/>
    <w:semiHidden/>
    <w:unhideWhenUsed/>
    <w:tblPr>
      <w:tblCellMar>
        <w:top w:w="0" w:type="dxa"/>
        <w:left w:w="108" w:type="dxa"/>
        <w:bottom w:w="0" w:type="dxa"/>
        <w:right w:w="108" w:type="dxa"/>
      </w:tblCellMar>
    </w:tblPr>
  </w:style>
  <w:style w:type="table" w:styleId="Tabela-Siatka">
    <w:name w:val="Table Grid"/>
    <w:basedOn w:val="Standardowy"/>
    <w:uiPriority w:val="39"/>
    <w:rsid w:val="002f0e5d"/>
    <w:pPr>
      <w:spacing w:after="0" w:line="240" w:lineRule="auto"/>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diagramData" Target="diagrams/data24.xml"/><Relationship Id="rId26" Type="http://schemas.openxmlformats.org/officeDocument/2006/relationships/diagramLayout" Target="diagrams/layout24.xml"/><Relationship Id="rId27" Type="http://schemas.openxmlformats.org/officeDocument/2006/relationships/diagramQuickStyle" Target="diagrams/quickStyle24.xml"/><Relationship Id="rId28" Type="http://schemas.openxmlformats.org/officeDocument/2006/relationships/diagramColors" Target="diagrams/colors24.xml"/><Relationship Id="rId29" Type="http://schemas.microsoft.com/office/2007/relationships/diagramDrawing" Target="diagrams/drawing24.xml"/><Relationship Id="rId30" Type="http://schemas.openxmlformats.org/officeDocument/2006/relationships/hyperlink" Target="https://klaster.bydgoszcz.pl/" TargetMode="External"/><Relationship Id="rId31" Type="http://schemas.openxmlformats.org/officeDocument/2006/relationships/hyperlink" Target="http://www.klasterpk.byd.pl/" TargetMode="External"/><Relationship Id="rId32" Type="http://schemas.openxmlformats.org/officeDocument/2006/relationships/hyperlink" Target="http://www.agroklaster.pl/" TargetMode="External"/><Relationship Id="rId33" Type="http://schemas.openxmlformats.org/officeDocument/2006/relationships/hyperlink" Target="https://bki.org.pl/" TargetMode="External"/><Relationship Id="rId34" Type="http://schemas.openxmlformats.org/officeDocument/2006/relationships/hyperlink" Target="https://www.tarr.org.pl/" TargetMode="External"/><Relationship Id="rId35" Type="http://schemas.openxmlformats.org/officeDocument/2006/relationships/hyperlink" Target="https://pte.bydgoszcz.pl/" TargetMode="External"/><Relationship Id="rId36" Type="http://schemas.openxmlformats.org/officeDocument/2006/relationships/hyperlink" Target="https://www.iph.torun.pl/" TargetMode="External"/><Relationship Id="rId37" Type="http://schemas.openxmlformats.org/officeDocument/2006/relationships/hyperlink" Target="https://kpfp.org.pl/" TargetMode="External"/><Relationship Id="rId38" Type="http://schemas.openxmlformats.org/officeDocument/2006/relationships/hyperlink" Target="https://kpfp.org.pl/pozyczki-dla-twojej-firmy/" TargetMode="External"/><Relationship Id="rId39" Type="http://schemas.openxmlformats.org/officeDocument/2006/relationships/hyperlink" Target="https://kpfp.org.pl/granty-i-dotacje/" TargetMode="External"/><Relationship Id="rId40" Type="http://schemas.openxmlformats.org/officeDocument/2006/relationships/hyperlink" Target="http://www.lgd.brodnica.pl/" TargetMode="External"/><Relationship Id="rId41" Type="http://schemas.openxmlformats.org/officeDocument/2006/relationships/hyperlink" Target="http://lgd.grudziadz.pl/" TargetMode="External"/><Relationship Id="rId42" Type="http://schemas.openxmlformats.org/officeDocument/2006/relationships/hyperlink" Target="http://www.lgd.inowroclaw.pl/" TargetMode="External"/><Relationship Id="rId43" Type="http://schemas.openxmlformats.org/officeDocument/2006/relationships/hyperlink" Target="http://www.lgdwloclawek.pl/" TargetMode="External"/><Relationship Id="rId44" Type="http://schemas.openxmlformats.org/officeDocument/2006/relationships/hyperlink" Target="http://www.lgdchelmno.pl/" TargetMode="External"/><Relationship Id="rId45" Type="http://schemas.openxmlformats.org/officeDocument/2006/relationships/hyperlink" Target="http://www.dlatorunia.pl/" TargetMode="External"/><Relationship Id="rId46" Type="http://schemas.openxmlformats.org/officeDocument/2006/relationships/hyperlink" Target="http://www.lgd.bydgoszcz.pl/" TargetMode="External"/><Relationship Id="rId47" Type="http://schemas.openxmlformats.org/officeDocument/2006/relationships/hyperlink" Target="http://www.lgdswiecie.pl/" TargetMode="External"/><Relationship Id="rId48" Type="http://schemas.openxmlformats.org/officeDocument/2006/relationships/hyperlink" Target="http://www.lgddolinadrwecy.org.pl/" TargetMode="External"/><Relationship Id="rId49" Type="http://schemas.openxmlformats.org/officeDocument/2006/relationships/hyperlink" Target="http://www.lgd.borytucholskie.pl/" TargetMode="External"/><Relationship Id="rId50" Type="http://schemas.openxmlformats.org/officeDocument/2006/relationships/hyperlink" Target="http://www.kujawiaki.pl/" TargetMode="External"/><Relationship Id="rId51" Type="http://schemas.openxmlformats.org/officeDocument/2006/relationships/hyperlink" Target="http://www.elgd.pl/" TargetMode="External"/><Relationship Id="rId52" Type="http://schemas.openxmlformats.org/officeDocument/2006/relationships/hyperlink" Target="http://www.czarnoziemnasoli.pl/" TargetMode="External"/><Relationship Id="rId53" Type="http://schemas.openxmlformats.org/officeDocument/2006/relationships/hyperlink" Target="http://www.lgddobrzyn.pl/" TargetMode="External"/><Relationship Id="rId54" Type="http://schemas.openxmlformats.org/officeDocument/2006/relationships/hyperlink" Target="http://www.naszakrajna.org/home.html" TargetMode="External"/><Relationship Id="rId55" Type="http://schemas.openxmlformats.org/officeDocument/2006/relationships/hyperlink" Target="http://www.lgrnaklo.org.pl/" TargetMode="External"/><Relationship Id="rId56" Type="http://schemas.openxmlformats.org/officeDocument/2006/relationships/hyperlink" Target="http://www.lgd-paluki.pl/" TargetMode="External"/><Relationship Id="rId57" Type="http://schemas.openxmlformats.org/officeDocument/2006/relationships/hyperlink" Target="http://www.krajna-paluki.cna.org.pl/" TargetMode="External"/><Relationship Id="rId58" Type="http://schemas.openxmlformats.org/officeDocument/2006/relationships/hyperlink" Target="http://www.ziemiakujawska.pl/" TargetMode="External"/><Relationship Id="rId59" Type="http://schemas.openxmlformats.org/officeDocument/2006/relationships/hyperlink" Target="http://www.podgrodzietorunskie.pl/" TargetMode="External"/><Relationship Id="rId60" Type="http://schemas.openxmlformats.org/officeDocument/2006/relationships/hyperlink" Target="http://lgdpojezierzebrodnickie.pl/" TargetMode="External"/><Relationship Id="rId61" Type="http://schemas.openxmlformats.org/officeDocument/2006/relationships/hyperlink" Target="http://www.lgd.com.pl/" TargetMode="External"/><Relationship Id="rId62" Type="http://schemas.openxmlformats.org/officeDocument/2006/relationships/hyperlink" Target="http://lgdsasiedzi.pl/" TargetMode="External"/><Relationship Id="rId63" Type="http://schemas.openxmlformats.org/officeDocument/2006/relationships/hyperlink" Target="http://www.trzydoliny.eu/" TargetMode="External"/><Relationship Id="rId64" Type="http://schemas.openxmlformats.org/officeDocument/2006/relationships/hyperlink" Target="http://www.lgdvistula.org/" TargetMode="External"/><Relationship Id="rId65" Type="http://schemas.openxmlformats.org/officeDocument/2006/relationships/hyperlink" Target="http://www.zakolewisly.pl/pl/" TargetMode="External"/><Relationship Id="rId66" Type="http://schemas.openxmlformats.org/officeDocument/2006/relationships/hyperlink" Target="http://www.lgd.ziemiagotyku.com/" TargetMode="External"/><Relationship Id="rId67" Type="http://schemas.openxmlformats.org/officeDocument/2006/relationships/hyperlink" Target="http://www.lgdwabrzezno.pl/" TargetMode="External"/><Relationship Id="rId68" Type="http://schemas.openxmlformats.org/officeDocument/2006/relationships/hyperlink" Target="https://www.kujawsko-pomorskie.pl/lista-lgd" TargetMode="External"/><Relationship Id="rId69" Type="http://schemas.openxmlformats.org/officeDocument/2006/relationships/image" Target="media/image24.jpeg"/><Relationship Id="rId70" Type="http://schemas.openxmlformats.org/officeDocument/2006/relationships/hyperlink" Target="https://www.kujawsko-pomorskie.pl/pliki/lgd/mapa.jpg" TargetMode="External"/><Relationship Id="rId71" Type="http://schemas.openxmlformats.org/officeDocument/2006/relationships/footnotes" Target="footnotes.xml"/><Relationship Id="rId72" Type="http://schemas.openxmlformats.org/officeDocument/2006/relationships/numbering" Target="numbering.xml"/><Relationship Id="rId73" Type="http://schemas.openxmlformats.org/officeDocument/2006/relationships/fontTable" Target="fontTable.xml"/><Relationship Id="rId74" Type="http://schemas.openxmlformats.org/officeDocument/2006/relationships/settings" Target="settings.xml"/><Relationship Id="rId75" Type="http://schemas.openxmlformats.org/officeDocument/2006/relationships/theme" Target="theme/theme1.xml"/><Relationship Id="rId76" Type="http://schemas.openxmlformats.org/officeDocument/2006/relationships/customXml" Target="../customXml/item1.xml"/>
</Relationships>
</file>

<file path=word/diagrams/colors2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24.xml><?xml version="1.0" encoding="utf-8"?>
<dgm:dataModel xmlns:dgm="http://schemas.openxmlformats.org/drawingml/2006/diagram" xmlns:a="http://schemas.openxmlformats.org/drawingml/2006/main">
  <dgm:ptLst>
    <dgm:pt modelId="{5E7CDB80-2875-4C74-9611-A7FF1F7403BD}" type="doc">
      <dgm:prSet loTypeId="urn:microsoft.com/office/officeart/2005/8/layout/process4" loCatId="list" qsTypeId="urn:microsoft.com/office/officeart/2005/8/quickstyle/simple1" qsCatId="simple" csTypeId="urn:microsoft.com/office/officeart/2005/8/colors/colorful4" csCatId="colorful" phldr="1"/>
      <dgm:spPr/>
      <dgm:t>
        <a:bodyPr/>
        <a:lstStyle/>
        <a:p>
          <a:endParaRPr lang="pl-PL"/>
        </a:p>
      </dgm:t>
    </dgm:pt>
    <dgm:pt modelId="{9B57E9BA-80D3-475B-ABAD-A8913620EB3A}">
      <dgm:prSet phldrT="[Tekst]" custT="1"/>
      <dgm:spPr/>
      <dgm:t>
        <a:bodyPr/>
        <a:lstStyle/>
        <a:p>
          <a:r>
            <a:rPr lang="pl-PL" sz="2400"/>
            <a:t>Wójt Gminy</a:t>
          </a:r>
        </a:p>
      </dgm:t>
    </dgm:pt>
    <dgm:pt modelId="{DA41583F-51A4-46B8-862F-8C5BE9E7BFD7}" type="parTrans" cxnId="{3FF5967E-29A9-48A0-BFF8-1A13EC0BC01F}">
      <dgm:prSet/>
      <dgm:spPr/>
      <dgm:t>
        <a:bodyPr/>
        <a:lstStyle/>
        <a:p>
          <a:endParaRPr lang="pl-PL"/>
        </a:p>
      </dgm:t>
    </dgm:pt>
    <dgm:pt modelId="{C520057A-A8E8-465C-878B-5BE493240282}" type="sibTrans" cxnId="{3FF5967E-29A9-48A0-BFF8-1A13EC0BC01F}">
      <dgm:prSet/>
      <dgm:spPr/>
      <dgm:t>
        <a:bodyPr/>
        <a:lstStyle/>
        <a:p>
          <a:endParaRPr lang="pl-PL"/>
        </a:p>
      </dgm:t>
    </dgm:pt>
    <dgm:pt modelId="{50B43EFF-6439-4BE3-AF53-FDB90C8C8DD7}">
      <dgm:prSet phldrT="[Tekst]"/>
      <dgm:spPr/>
      <dgm:t>
        <a:bodyPr/>
        <a:lstStyle/>
        <a:p>
          <a:r>
            <a:rPr lang="pl-PL"/>
            <a:t>inicjatywa i koordynacja działań</a:t>
          </a:r>
        </a:p>
      </dgm:t>
    </dgm:pt>
    <dgm:pt modelId="{2ECC2984-ECC5-45A0-A5C8-9736CA5F9092}" type="parTrans" cxnId="{BF2713D3-2F6C-476F-AF2E-4AEA2DC50E22}">
      <dgm:prSet/>
      <dgm:spPr/>
      <dgm:t>
        <a:bodyPr/>
        <a:lstStyle/>
        <a:p>
          <a:endParaRPr lang="pl-PL"/>
        </a:p>
      </dgm:t>
    </dgm:pt>
    <dgm:pt modelId="{E839C4DA-AAC2-4D3A-AE05-F8F0B42748DD}" type="sibTrans" cxnId="{BF2713D3-2F6C-476F-AF2E-4AEA2DC50E22}">
      <dgm:prSet/>
      <dgm:spPr/>
      <dgm:t>
        <a:bodyPr/>
        <a:lstStyle/>
        <a:p>
          <a:endParaRPr lang="pl-PL"/>
        </a:p>
      </dgm:t>
    </dgm:pt>
    <dgm:pt modelId="{F10A3411-23E7-4B94-8F6C-762B915720A1}">
      <dgm:prSet phldrT="[Tekst]" custT="1"/>
      <dgm:spPr/>
      <dgm:t>
        <a:bodyPr/>
        <a:lstStyle/>
        <a:p>
          <a:r>
            <a:rPr lang="pl-PL" sz="2400"/>
            <a:t>Rada Gminy</a:t>
          </a:r>
        </a:p>
      </dgm:t>
    </dgm:pt>
    <dgm:pt modelId="{536A75D7-8641-4769-BF43-E2A7BD883ED1}" type="parTrans" cxnId="{1E0A949F-F8B8-44B9-BD9D-68251F335A98}">
      <dgm:prSet/>
      <dgm:spPr/>
      <dgm:t>
        <a:bodyPr/>
        <a:lstStyle/>
        <a:p>
          <a:endParaRPr lang="pl-PL"/>
        </a:p>
      </dgm:t>
    </dgm:pt>
    <dgm:pt modelId="{5DAF9D88-A68A-43AB-BBB5-7B130FE9DC45}" type="sibTrans" cxnId="{1E0A949F-F8B8-44B9-BD9D-68251F335A98}">
      <dgm:prSet/>
      <dgm:spPr/>
      <dgm:t>
        <a:bodyPr/>
        <a:lstStyle/>
        <a:p>
          <a:endParaRPr lang="pl-PL"/>
        </a:p>
      </dgm:t>
    </dgm:pt>
    <dgm:pt modelId="{B37DEAA4-0C65-49A7-85E8-EB6CE009DDAF}">
      <dgm:prSet phldrT="[Tekst]"/>
      <dgm:spPr/>
      <dgm:t>
        <a:bodyPr/>
        <a:lstStyle/>
        <a:p>
          <a:r>
            <a:rPr lang="pl-PL"/>
            <a:t>podejmowanie decyzji strategicznych</a:t>
          </a:r>
        </a:p>
      </dgm:t>
    </dgm:pt>
    <dgm:pt modelId="{7E57AEDF-9EE5-4630-84DE-DA35A2AC1A5C}" type="parTrans" cxnId="{67D47BDC-EE92-44C7-991C-406DBDBC1B5A}">
      <dgm:prSet/>
      <dgm:spPr/>
      <dgm:t>
        <a:bodyPr/>
        <a:lstStyle/>
        <a:p>
          <a:endParaRPr lang="pl-PL"/>
        </a:p>
      </dgm:t>
    </dgm:pt>
    <dgm:pt modelId="{DF4149BE-E2F0-4C22-A49B-BAD98AA17A03}" type="sibTrans" cxnId="{67D47BDC-EE92-44C7-991C-406DBDBC1B5A}">
      <dgm:prSet/>
      <dgm:spPr/>
      <dgm:t>
        <a:bodyPr/>
        <a:lstStyle/>
        <a:p>
          <a:endParaRPr lang="pl-PL"/>
        </a:p>
      </dgm:t>
    </dgm:pt>
    <dgm:pt modelId="{936CC18F-57B7-49B4-85BC-A70B6F956E3B}">
      <dgm:prSet phldrT="[Tekst]" custT="1"/>
      <dgm:spPr/>
      <dgm:t>
        <a:bodyPr/>
        <a:lstStyle/>
        <a:p>
          <a:r>
            <a:rPr lang="pl-PL" sz="2000"/>
            <a:t>Referat  Gospodarki Gruntami i Inwestycji</a:t>
          </a:r>
        </a:p>
      </dgm:t>
    </dgm:pt>
    <dgm:pt modelId="{8E37A968-D852-4957-AA33-5DF1EBB41A5D}" type="parTrans" cxnId="{B57D9C9E-678D-4240-B5CF-FBAD462C4FFF}">
      <dgm:prSet/>
      <dgm:spPr/>
      <dgm:t>
        <a:bodyPr/>
        <a:lstStyle/>
        <a:p>
          <a:endParaRPr lang="pl-PL"/>
        </a:p>
      </dgm:t>
    </dgm:pt>
    <dgm:pt modelId="{0024A5D5-7365-49C7-B7FF-D7FE03FCB6B9}" type="sibTrans" cxnId="{B57D9C9E-678D-4240-B5CF-FBAD462C4FFF}">
      <dgm:prSet/>
      <dgm:spPr/>
      <dgm:t>
        <a:bodyPr/>
        <a:lstStyle/>
        <a:p>
          <a:endParaRPr lang="pl-PL"/>
        </a:p>
      </dgm:t>
    </dgm:pt>
    <dgm:pt modelId="{B47E41AF-F910-4C9F-823C-F7DE9608F707}">
      <dgm:prSet phldrT="[Tekst]"/>
      <dgm:spPr/>
      <dgm:t>
        <a:bodyPr/>
        <a:lstStyle/>
        <a:p>
          <a:r>
            <a:rPr lang="pl-PL"/>
            <a:t>koordynowanie działań i projektów, udział w realizacji projektów</a:t>
          </a:r>
        </a:p>
      </dgm:t>
    </dgm:pt>
    <dgm:pt modelId="{EAF92612-0B2B-4800-A812-729E59C7CF2D}" type="parTrans" cxnId="{7FCF6810-5B2B-4348-82B4-329C77CD56F8}">
      <dgm:prSet/>
      <dgm:spPr/>
      <dgm:t>
        <a:bodyPr/>
        <a:lstStyle/>
        <a:p>
          <a:endParaRPr lang="pl-PL"/>
        </a:p>
      </dgm:t>
    </dgm:pt>
    <dgm:pt modelId="{E5B85719-EBA1-4459-A363-7D7C6574912F}" type="sibTrans" cxnId="{7FCF6810-5B2B-4348-82B4-329C77CD56F8}">
      <dgm:prSet/>
      <dgm:spPr/>
      <dgm:t>
        <a:bodyPr/>
        <a:lstStyle/>
        <a:p>
          <a:endParaRPr lang="pl-PL"/>
        </a:p>
      </dgm:t>
    </dgm:pt>
    <dgm:pt modelId="{D81A38BD-5D1B-4F31-A636-02EE9CA94B89}">
      <dgm:prSet custT="1"/>
      <dgm:spPr/>
      <dgm:t>
        <a:bodyPr/>
        <a:lstStyle/>
        <a:p>
          <a:r>
            <a:rPr lang="pl-PL" sz="1600"/>
            <a:t>Pozostałe referaty i jednostki podległe Gminy</a:t>
          </a:r>
        </a:p>
      </dgm:t>
    </dgm:pt>
    <dgm:pt modelId="{5E1A0B6B-B1E7-4505-A2A7-DFCD26E2E184}" type="parTrans" cxnId="{22148073-E13E-4877-A52C-4510BDBD83DC}">
      <dgm:prSet/>
      <dgm:spPr/>
      <dgm:t>
        <a:bodyPr/>
        <a:lstStyle/>
        <a:p>
          <a:endParaRPr lang="pl-PL"/>
        </a:p>
      </dgm:t>
    </dgm:pt>
    <dgm:pt modelId="{442A63AE-9A51-4054-B548-5EC9D0DFB447}" type="sibTrans" cxnId="{22148073-E13E-4877-A52C-4510BDBD83DC}">
      <dgm:prSet/>
      <dgm:spPr/>
      <dgm:t>
        <a:bodyPr/>
        <a:lstStyle/>
        <a:p>
          <a:endParaRPr lang="pl-PL"/>
        </a:p>
      </dgm:t>
    </dgm:pt>
    <dgm:pt modelId="{6C653616-4AD3-4773-9E6D-1085BFBB1F55}">
      <dgm:prSet/>
      <dgm:spPr/>
      <dgm:t>
        <a:bodyPr/>
        <a:lstStyle/>
        <a:p>
          <a:r>
            <a:rPr lang="pl-PL"/>
            <a:t>dostarczanie danych i udział w realizacji</a:t>
          </a:r>
        </a:p>
      </dgm:t>
    </dgm:pt>
    <dgm:pt modelId="{284DD986-F480-4928-B2BC-E58767F0AD33}" type="parTrans" cxnId="{528587AC-11D1-4CB2-AFE0-C290EAFE2ECD}">
      <dgm:prSet/>
      <dgm:spPr/>
      <dgm:t>
        <a:bodyPr/>
        <a:lstStyle/>
        <a:p>
          <a:endParaRPr lang="pl-PL"/>
        </a:p>
      </dgm:t>
    </dgm:pt>
    <dgm:pt modelId="{72EC7A91-35A6-46C5-9631-0E4221A0AF2C}" type="sibTrans" cxnId="{528587AC-11D1-4CB2-AFE0-C290EAFE2ECD}">
      <dgm:prSet/>
      <dgm:spPr/>
      <dgm:t>
        <a:bodyPr/>
        <a:lstStyle/>
        <a:p>
          <a:endParaRPr lang="pl-PL"/>
        </a:p>
      </dgm:t>
    </dgm:pt>
    <dgm:pt modelId="{DC41DFED-156A-4D38-B5DA-953DC01A1084}">
      <dgm:prSet custT="1"/>
      <dgm:spPr/>
      <dgm:t>
        <a:bodyPr/>
        <a:lstStyle/>
        <a:p>
          <a:r>
            <a:rPr lang="pl-PL" sz="1400"/>
            <a:t>Partnerzy (Instytucje Otoczenia Biznesu, Lokalna Grupa Działania, stowarzyszenia i  grupy  społeczne_</a:t>
          </a:r>
        </a:p>
      </dgm:t>
    </dgm:pt>
    <dgm:pt modelId="{891B0274-4EC9-4B24-9A14-09A4A928FCDC}" type="parTrans" cxnId="{E15F1C14-D633-4712-96F4-607FDD9AE249}">
      <dgm:prSet/>
      <dgm:spPr/>
      <dgm:t>
        <a:bodyPr/>
        <a:lstStyle/>
        <a:p>
          <a:endParaRPr lang="pl-PL"/>
        </a:p>
      </dgm:t>
    </dgm:pt>
    <dgm:pt modelId="{55CA44C9-2F2C-409C-B294-3E38C6934148}" type="sibTrans" cxnId="{E15F1C14-D633-4712-96F4-607FDD9AE249}">
      <dgm:prSet/>
      <dgm:spPr/>
      <dgm:t>
        <a:bodyPr/>
        <a:lstStyle/>
        <a:p>
          <a:endParaRPr lang="pl-PL"/>
        </a:p>
      </dgm:t>
    </dgm:pt>
    <dgm:pt modelId="{032B6F4A-5692-4582-964B-09D231AD5464}">
      <dgm:prSet/>
      <dgm:spPr/>
      <dgm:t>
        <a:bodyPr/>
        <a:lstStyle/>
        <a:p>
          <a:r>
            <a:rPr lang="pl-PL"/>
            <a:t>dostarczanie danych, udział w realizacji</a:t>
          </a:r>
        </a:p>
      </dgm:t>
    </dgm:pt>
    <dgm:pt modelId="{D36496C0-B25F-4155-BB20-23763D5FAA8A}" type="parTrans" cxnId="{12C32EE5-6D3A-4054-A511-DA52055C3D9C}">
      <dgm:prSet/>
      <dgm:spPr/>
      <dgm:t>
        <a:bodyPr/>
        <a:lstStyle/>
        <a:p>
          <a:endParaRPr lang="pl-PL"/>
        </a:p>
      </dgm:t>
    </dgm:pt>
    <dgm:pt modelId="{00037B0A-B3A5-44D5-B6BA-B8FA4B99286B}" type="sibTrans" cxnId="{12C32EE5-6D3A-4054-A511-DA52055C3D9C}">
      <dgm:prSet/>
      <dgm:spPr/>
      <dgm:t>
        <a:bodyPr/>
        <a:lstStyle/>
        <a:p>
          <a:endParaRPr lang="pl-PL"/>
        </a:p>
      </dgm:t>
    </dgm:pt>
    <dgm:pt modelId="{EC1D9D5D-6111-4796-BB60-2AA6F125D0D4}" type="pres">
      <dgm:prSet presAssocID="{5E7CDB80-2875-4C74-9611-A7FF1F7403BD}" presName="Name0" presStyleCnt="0">
        <dgm:presLayoutVars>
          <dgm:dir/>
          <dgm:animLvl val="lvl"/>
          <dgm:resizeHandles val="exact"/>
        </dgm:presLayoutVars>
      </dgm:prSet>
      <dgm:spPr/>
      <dgm:t>
        <a:bodyPr/>
        <a:lstStyle/>
        <a:p>
          <a:endParaRPr lang="pl-PL"/>
        </a:p>
      </dgm:t>
    </dgm:pt>
    <dgm:pt modelId="{E31F3211-EDD7-4F3E-8C99-CCF2CDDE726B}" type="pres">
      <dgm:prSet presAssocID="{DC41DFED-156A-4D38-B5DA-953DC01A1084}" presName="boxAndChildren" presStyleCnt="0"/>
      <dgm:spPr/>
    </dgm:pt>
    <dgm:pt modelId="{6C09DBC9-CBCF-4A13-9E5A-82FC7D5BF000}" type="pres">
      <dgm:prSet presAssocID="{DC41DFED-156A-4D38-B5DA-953DC01A1084}" presName="parentTextBox" presStyleLbl="node1" presStyleIdx="0" presStyleCnt="5"/>
      <dgm:spPr/>
      <dgm:t>
        <a:bodyPr/>
        <a:lstStyle/>
        <a:p>
          <a:endParaRPr lang="pl-PL"/>
        </a:p>
      </dgm:t>
    </dgm:pt>
    <dgm:pt modelId="{CDB9CFB9-E6E2-44D8-AA6A-B4EBDFBF72AD}" type="pres">
      <dgm:prSet presAssocID="{DC41DFED-156A-4D38-B5DA-953DC01A1084}" presName="entireBox" presStyleLbl="node1" presStyleIdx="0" presStyleCnt="5" custScaleY="129199"/>
      <dgm:spPr/>
      <dgm:t>
        <a:bodyPr/>
        <a:lstStyle/>
        <a:p>
          <a:endParaRPr lang="pl-PL"/>
        </a:p>
      </dgm:t>
    </dgm:pt>
    <dgm:pt modelId="{22BDFC38-1ACB-4924-98B1-855544930C3B}" type="pres">
      <dgm:prSet presAssocID="{DC41DFED-156A-4D38-B5DA-953DC01A1084}" presName="descendantBox" presStyleCnt="0"/>
      <dgm:spPr/>
    </dgm:pt>
    <dgm:pt modelId="{E9E691C0-EB54-4238-9820-6AD4DCDB7AB8}" type="pres">
      <dgm:prSet presAssocID="{032B6F4A-5692-4582-964B-09D231AD5464}" presName="childTextBox" presStyleLbl="fgAccFollowNode1" presStyleIdx="0" presStyleCnt="5">
        <dgm:presLayoutVars>
          <dgm:bulletEnabled val="1"/>
        </dgm:presLayoutVars>
      </dgm:prSet>
      <dgm:spPr/>
      <dgm:t>
        <a:bodyPr/>
        <a:lstStyle/>
        <a:p>
          <a:endParaRPr lang="pl-PL"/>
        </a:p>
      </dgm:t>
    </dgm:pt>
    <dgm:pt modelId="{9811A249-04CA-499D-B122-F0ABBDA9AB61}" type="pres">
      <dgm:prSet presAssocID="{442A63AE-9A51-4054-B548-5EC9D0DFB447}" presName="sp" presStyleCnt="0"/>
      <dgm:spPr/>
    </dgm:pt>
    <dgm:pt modelId="{263D0DDC-2A23-45E1-9509-F1A4FAEBE72D}" type="pres">
      <dgm:prSet presAssocID="{D81A38BD-5D1B-4F31-A636-02EE9CA94B89}" presName="arrowAndChildren" presStyleCnt="0"/>
      <dgm:spPr/>
    </dgm:pt>
    <dgm:pt modelId="{8338C979-13DD-4FB1-8B5B-0AF44D4F5ADC}" type="pres">
      <dgm:prSet presAssocID="{D81A38BD-5D1B-4F31-A636-02EE9CA94B89}" presName="parentTextArrow" presStyleLbl="node1" presStyleIdx="0" presStyleCnt="5"/>
      <dgm:spPr/>
      <dgm:t>
        <a:bodyPr/>
        <a:lstStyle/>
        <a:p>
          <a:endParaRPr lang="pl-PL"/>
        </a:p>
      </dgm:t>
    </dgm:pt>
    <dgm:pt modelId="{BDB63F58-6599-41CA-B63C-CA18EDD034C3}" type="pres">
      <dgm:prSet presAssocID="{D81A38BD-5D1B-4F31-A636-02EE9CA94B89}" presName="arrow" presStyleLbl="node1" presStyleIdx="1" presStyleCnt="5"/>
      <dgm:spPr/>
      <dgm:t>
        <a:bodyPr/>
        <a:lstStyle/>
        <a:p>
          <a:endParaRPr lang="pl-PL"/>
        </a:p>
      </dgm:t>
    </dgm:pt>
    <dgm:pt modelId="{690A9366-0E42-44B5-A980-6ECC7F979BB8}" type="pres">
      <dgm:prSet presAssocID="{D81A38BD-5D1B-4F31-A636-02EE9CA94B89}" presName="descendantArrow" presStyleCnt="0"/>
      <dgm:spPr/>
    </dgm:pt>
    <dgm:pt modelId="{2947AEDC-8CCE-47CF-B949-D7363BE780E1}" type="pres">
      <dgm:prSet presAssocID="{6C653616-4AD3-4773-9E6D-1085BFBB1F55}" presName="childTextArrow" presStyleLbl="fgAccFollowNode1" presStyleIdx="1" presStyleCnt="5">
        <dgm:presLayoutVars>
          <dgm:bulletEnabled val="1"/>
        </dgm:presLayoutVars>
      </dgm:prSet>
      <dgm:spPr/>
      <dgm:t>
        <a:bodyPr/>
        <a:lstStyle/>
        <a:p>
          <a:endParaRPr lang="pl-PL"/>
        </a:p>
      </dgm:t>
    </dgm:pt>
    <dgm:pt modelId="{D727A804-E693-445B-BCC9-519026422099}" type="pres">
      <dgm:prSet presAssocID="{0024A5D5-7365-49C7-B7FF-D7FE03FCB6B9}" presName="sp" presStyleCnt="0"/>
      <dgm:spPr/>
    </dgm:pt>
    <dgm:pt modelId="{1E0BAEFC-CF10-4C3A-B190-9DA5EEC659DB}" type="pres">
      <dgm:prSet presAssocID="{936CC18F-57B7-49B4-85BC-A70B6F956E3B}" presName="arrowAndChildren" presStyleCnt="0"/>
      <dgm:spPr/>
    </dgm:pt>
    <dgm:pt modelId="{06E9A2BA-323A-4543-BF4D-D43DE3496DEE}" type="pres">
      <dgm:prSet presAssocID="{936CC18F-57B7-49B4-85BC-A70B6F956E3B}" presName="parentTextArrow" presStyleLbl="node1" presStyleIdx="1" presStyleCnt="5"/>
      <dgm:spPr/>
      <dgm:t>
        <a:bodyPr/>
        <a:lstStyle/>
        <a:p>
          <a:endParaRPr lang="pl-PL"/>
        </a:p>
      </dgm:t>
    </dgm:pt>
    <dgm:pt modelId="{904150F2-9D57-432F-ACED-EDEB3C19AF18}" type="pres">
      <dgm:prSet presAssocID="{936CC18F-57B7-49B4-85BC-A70B6F956E3B}" presName="arrow" presStyleLbl="node1" presStyleIdx="2" presStyleCnt="5" custLinFactNeighborX="-826" custLinFactNeighborY="771"/>
      <dgm:spPr/>
      <dgm:t>
        <a:bodyPr/>
        <a:lstStyle/>
        <a:p>
          <a:endParaRPr lang="pl-PL"/>
        </a:p>
      </dgm:t>
    </dgm:pt>
    <dgm:pt modelId="{71F2F62A-0B5C-41F2-87A8-ACBE2DC15F2A}" type="pres">
      <dgm:prSet presAssocID="{936CC18F-57B7-49B4-85BC-A70B6F956E3B}" presName="descendantArrow" presStyleCnt="0"/>
      <dgm:spPr/>
    </dgm:pt>
    <dgm:pt modelId="{AFE919A1-CC7C-4F40-8C71-813286DED56E}" type="pres">
      <dgm:prSet presAssocID="{B47E41AF-F910-4C9F-823C-F7DE9608F707}" presName="childTextArrow" presStyleLbl="fgAccFollowNode1" presStyleIdx="2" presStyleCnt="5">
        <dgm:presLayoutVars>
          <dgm:bulletEnabled val="1"/>
        </dgm:presLayoutVars>
      </dgm:prSet>
      <dgm:spPr/>
      <dgm:t>
        <a:bodyPr/>
        <a:lstStyle/>
        <a:p>
          <a:endParaRPr lang="pl-PL"/>
        </a:p>
      </dgm:t>
    </dgm:pt>
    <dgm:pt modelId="{F687437C-7ECB-4F08-AA29-9ABC33C641CB}" type="pres">
      <dgm:prSet presAssocID="{5DAF9D88-A68A-43AB-BBB5-7B130FE9DC45}" presName="sp" presStyleCnt="0"/>
      <dgm:spPr/>
    </dgm:pt>
    <dgm:pt modelId="{5E9B155E-BA86-4031-87CC-528BEDA9CDB8}" type="pres">
      <dgm:prSet presAssocID="{F10A3411-23E7-4B94-8F6C-762B915720A1}" presName="arrowAndChildren" presStyleCnt="0"/>
      <dgm:spPr/>
    </dgm:pt>
    <dgm:pt modelId="{7500925E-9B9D-4F7F-9BF6-416A5BDB16ED}" type="pres">
      <dgm:prSet presAssocID="{F10A3411-23E7-4B94-8F6C-762B915720A1}" presName="parentTextArrow" presStyleLbl="node1" presStyleIdx="2" presStyleCnt="5"/>
      <dgm:spPr/>
      <dgm:t>
        <a:bodyPr/>
        <a:lstStyle/>
        <a:p>
          <a:endParaRPr lang="pl-PL"/>
        </a:p>
      </dgm:t>
    </dgm:pt>
    <dgm:pt modelId="{62A1E101-A409-45D1-B931-2DC3CD15BC91}" type="pres">
      <dgm:prSet presAssocID="{F10A3411-23E7-4B94-8F6C-762B915720A1}" presName="arrow" presStyleLbl="node1" presStyleIdx="3" presStyleCnt="5"/>
      <dgm:spPr/>
      <dgm:t>
        <a:bodyPr/>
        <a:lstStyle/>
        <a:p>
          <a:endParaRPr lang="pl-PL"/>
        </a:p>
      </dgm:t>
    </dgm:pt>
    <dgm:pt modelId="{F5155F62-7E28-4065-AA47-BC9F60F8FD51}" type="pres">
      <dgm:prSet presAssocID="{F10A3411-23E7-4B94-8F6C-762B915720A1}" presName="descendantArrow" presStyleCnt="0"/>
      <dgm:spPr/>
    </dgm:pt>
    <dgm:pt modelId="{05521E0A-6765-4435-9CF5-91A9631317D1}" type="pres">
      <dgm:prSet presAssocID="{B37DEAA4-0C65-49A7-85E8-EB6CE009DDAF}" presName="childTextArrow" presStyleLbl="fgAccFollowNode1" presStyleIdx="3" presStyleCnt="5">
        <dgm:presLayoutVars>
          <dgm:bulletEnabled val="1"/>
        </dgm:presLayoutVars>
      </dgm:prSet>
      <dgm:spPr/>
      <dgm:t>
        <a:bodyPr/>
        <a:lstStyle/>
        <a:p>
          <a:endParaRPr lang="pl-PL"/>
        </a:p>
      </dgm:t>
    </dgm:pt>
    <dgm:pt modelId="{DF59E652-56B1-4AF1-AAFB-C8EFDA67C034}" type="pres">
      <dgm:prSet presAssocID="{C520057A-A8E8-465C-878B-5BE493240282}" presName="sp" presStyleCnt="0"/>
      <dgm:spPr/>
    </dgm:pt>
    <dgm:pt modelId="{FD69C25A-9416-46C0-AE48-91248C1F8ED2}" type="pres">
      <dgm:prSet presAssocID="{9B57E9BA-80D3-475B-ABAD-A8913620EB3A}" presName="arrowAndChildren" presStyleCnt="0"/>
      <dgm:spPr/>
    </dgm:pt>
    <dgm:pt modelId="{89DF6921-0355-4D5A-897C-BA18C3C61EC4}" type="pres">
      <dgm:prSet presAssocID="{9B57E9BA-80D3-475B-ABAD-A8913620EB3A}" presName="parentTextArrow" presStyleLbl="node1" presStyleIdx="3" presStyleCnt="5"/>
      <dgm:spPr/>
      <dgm:t>
        <a:bodyPr/>
        <a:lstStyle/>
        <a:p>
          <a:endParaRPr lang="pl-PL"/>
        </a:p>
      </dgm:t>
    </dgm:pt>
    <dgm:pt modelId="{A25899FF-7408-458F-85AC-ADE37A851471}" type="pres">
      <dgm:prSet presAssocID="{9B57E9BA-80D3-475B-ABAD-A8913620EB3A}" presName="arrow" presStyleLbl="node1" presStyleIdx="4" presStyleCnt="5"/>
      <dgm:spPr/>
      <dgm:t>
        <a:bodyPr/>
        <a:lstStyle/>
        <a:p>
          <a:endParaRPr lang="pl-PL"/>
        </a:p>
      </dgm:t>
    </dgm:pt>
    <dgm:pt modelId="{B05F9F97-030B-4399-BA5A-2C902B8CCE77}" type="pres">
      <dgm:prSet presAssocID="{9B57E9BA-80D3-475B-ABAD-A8913620EB3A}" presName="descendantArrow" presStyleCnt="0"/>
      <dgm:spPr/>
    </dgm:pt>
    <dgm:pt modelId="{AF7B711C-2F9E-4EA4-AB8B-25E72EE7F944}" type="pres">
      <dgm:prSet presAssocID="{50B43EFF-6439-4BE3-AF53-FDB90C8C8DD7}" presName="childTextArrow" presStyleLbl="fgAccFollowNode1" presStyleIdx="4" presStyleCnt="5">
        <dgm:presLayoutVars>
          <dgm:bulletEnabled val="1"/>
        </dgm:presLayoutVars>
      </dgm:prSet>
      <dgm:spPr/>
      <dgm:t>
        <a:bodyPr/>
        <a:lstStyle/>
        <a:p>
          <a:endParaRPr lang="pl-PL"/>
        </a:p>
      </dgm:t>
    </dgm:pt>
  </dgm:ptLst>
  <dgm:cxnLst>
    <dgm:cxn modelId="{12C32EE5-6D3A-4054-A511-DA52055C3D9C}" srcId="{DC41DFED-156A-4D38-B5DA-953DC01A1084}" destId="{032B6F4A-5692-4582-964B-09D231AD5464}" srcOrd="0" destOrd="0" parTransId="{D36496C0-B25F-4155-BB20-23763D5FAA8A}" sibTransId="{00037B0A-B3A5-44D5-B6BA-B8FA4B99286B}"/>
    <dgm:cxn modelId="{42E8005E-EC0A-488B-A1B7-55BBC26C4B27}" type="presOf" srcId="{B47E41AF-F910-4C9F-823C-F7DE9608F707}" destId="{AFE919A1-CC7C-4F40-8C71-813286DED56E}" srcOrd="0" destOrd="0" presId="urn:microsoft.com/office/officeart/2005/8/layout/process4"/>
    <dgm:cxn modelId="{E15F1C14-D633-4712-96F4-607FDD9AE249}" srcId="{5E7CDB80-2875-4C74-9611-A7FF1F7403BD}" destId="{DC41DFED-156A-4D38-B5DA-953DC01A1084}" srcOrd="4" destOrd="0" parTransId="{891B0274-4EC9-4B24-9A14-09A4A928FCDC}" sibTransId="{55CA44C9-2F2C-409C-B294-3E38C6934148}"/>
    <dgm:cxn modelId="{B333FB79-91D2-46FF-9524-24170B7C00B0}" type="presOf" srcId="{D81A38BD-5D1B-4F31-A636-02EE9CA94B89}" destId="{BDB63F58-6599-41CA-B63C-CA18EDD034C3}" srcOrd="1" destOrd="0" presId="urn:microsoft.com/office/officeart/2005/8/layout/process4"/>
    <dgm:cxn modelId="{5952CA74-4276-4DB1-94CB-B50513579818}" type="presOf" srcId="{936CC18F-57B7-49B4-85BC-A70B6F956E3B}" destId="{06E9A2BA-323A-4543-BF4D-D43DE3496DEE}" srcOrd="0" destOrd="0" presId="urn:microsoft.com/office/officeart/2005/8/layout/process4"/>
    <dgm:cxn modelId="{BF2713D3-2F6C-476F-AF2E-4AEA2DC50E22}" srcId="{9B57E9BA-80D3-475B-ABAD-A8913620EB3A}" destId="{50B43EFF-6439-4BE3-AF53-FDB90C8C8DD7}" srcOrd="0" destOrd="0" parTransId="{2ECC2984-ECC5-45A0-A5C8-9736CA5F9092}" sibTransId="{E839C4DA-AAC2-4D3A-AE05-F8F0B42748DD}"/>
    <dgm:cxn modelId="{F1FCD077-F7DA-4D57-ACDE-AF7A09B3FD3C}" type="presOf" srcId="{F10A3411-23E7-4B94-8F6C-762B915720A1}" destId="{62A1E101-A409-45D1-B931-2DC3CD15BC91}" srcOrd="1" destOrd="0" presId="urn:microsoft.com/office/officeart/2005/8/layout/process4"/>
    <dgm:cxn modelId="{D0537737-86D3-4266-9F72-E7ECF4F89E42}" type="presOf" srcId="{032B6F4A-5692-4582-964B-09D231AD5464}" destId="{E9E691C0-EB54-4238-9820-6AD4DCDB7AB8}" srcOrd="0" destOrd="0" presId="urn:microsoft.com/office/officeart/2005/8/layout/process4"/>
    <dgm:cxn modelId="{A9EE13BE-96D5-492F-81E6-B2D602791415}" type="presOf" srcId="{50B43EFF-6439-4BE3-AF53-FDB90C8C8DD7}" destId="{AF7B711C-2F9E-4EA4-AB8B-25E72EE7F944}" srcOrd="0" destOrd="0" presId="urn:microsoft.com/office/officeart/2005/8/layout/process4"/>
    <dgm:cxn modelId="{A30C2559-3D0A-4F23-B87C-EF377FF39AF5}" type="presOf" srcId="{6C653616-4AD3-4773-9E6D-1085BFBB1F55}" destId="{2947AEDC-8CCE-47CF-B949-D7363BE780E1}" srcOrd="0" destOrd="0" presId="urn:microsoft.com/office/officeart/2005/8/layout/process4"/>
    <dgm:cxn modelId="{3FF5967E-29A9-48A0-BFF8-1A13EC0BC01F}" srcId="{5E7CDB80-2875-4C74-9611-A7FF1F7403BD}" destId="{9B57E9BA-80D3-475B-ABAD-A8913620EB3A}" srcOrd="0" destOrd="0" parTransId="{DA41583F-51A4-46B8-862F-8C5BE9E7BFD7}" sibTransId="{C520057A-A8E8-465C-878B-5BE493240282}"/>
    <dgm:cxn modelId="{B00BB2F3-5895-47EF-AFA6-3CE50C2F44CE}" type="presOf" srcId="{D81A38BD-5D1B-4F31-A636-02EE9CA94B89}" destId="{8338C979-13DD-4FB1-8B5B-0AF44D4F5ADC}" srcOrd="0" destOrd="0" presId="urn:microsoft.com/office/officeart/2005/8/layout/process4"/>
    <dgm:cxn modelId="{9E4B6F0D-34F2-4035-8A65-73F673BB637E}" type="presOf" srcId="{9B57E9BA-80D3-475B-ABAD-A8913620EB3A}" destId="{A25899FF-7408-458F-85AC-ADE37A851471}" srcOrd="1" destOrd="0" presId="urn:microsoft.com/office/officeart/2005/8/layout/process4"/>
    <dgm:cxn modelId="{64A4556F-7568-472E-A749-4E52863C1BB1}" type="presOf" srcId="{9B57E9BA-80D3-475B-ABAD-A8913620EB3A}" destId="{89DF6921-0355-4D5A-897C-BA18C3C61EC4}" srcOrd="0" destOrd="0" presId="urn:microsoft.com/office/officeart/2005/8/layout/process4"/>
    <dgm:cxn modelId="{E772D319-6D1F-42D6-B6E8-38965853EABF}" type="presOf" srcId="{B37DEAA4-0C65-49A7-85E8-EB6CE009DDAF}" destId="{05521E0A-6765-4435-9CF5-91A9631317D1}" srcOrd="0" destOrd="0" presId="urn:microsoft.com/office/officeart/2005/8/layout/process4"/>
    <dgm:cxn modelId="{BF0EEB35-C8CD-4306-9507-590411C85AAD}" type="presOf" srcId="{DC41DFED-156A-4D38-B5DA-953DC01A1084}" destId="{CDB9CFB9-E6E2-44D8-AA6A-B4EBDFBF72AD}" srcOrd="1" destOrd="0" presId="urn:microsoft.com/office/officeart/2005/8/layout/process4"/>
    <dgm:cxn modelId="{67D47BDC-EE92-44C7-991C-406DBDBC1B5A}" srcId="{F10A3411-23E7-4B94-8F6C-762B915720A1}" destId="{B37DEAA4-0C65-49A7-85E8-EB6CE009DDAF}" srcOrd="0" destOrd="0" parTransId="{7E57AEDF-9EE5-4630-84DE-DA35A2AC1A5C}" sibTransId="{DF4149BE-E2F0-4C22-A49B-BAD98AA17A03}"/>
    <dgm:cxn modelId="{7FCF6810-5B2B-4348-82B4-329C77CD56F8}" srcId="{936CC18F-57B7-49B4-85BC-A70B6F956E3B}" destId="{B47E41AF-F910-4C9F-823C-F7DE9608F707}" srcOrd="0" destOrd="0" parTransId="{EAF92612-0B2B-4800-A812-729E59C7CF2D}" sibTransId="{E5B85719-EBA1-4459-A363-7D7C6574912F}"/>
    <dgm:cxn modelId="{F1D0249F-987E-4F16-AC00-7D295A15BADC}" type="presOf" srcId="{F10A3411-23E7-4B94-8F6C-762B915720A1}" destId="{7500925E-9B9D-4F7F-9BF6-416A5BDB16ED}" srcOrd="0" destOrd="0" presId="urn:microsoft.com/office/officeart/2005/8/layout/process4"/>
    <dgm:cxn modelId="{7C3CCFFC-1EE1-4EC6-B04A-207C75B7EA7C}" type="presOf" srcId="{DC41DFED-156A-4D38-B5DA-953DC01A1084}" destId="{6C09DBC9-CBCF-4A13-9E5A-82FC7D5BF000}" srcOrd="0" destOrd="0" presId="urn:microsoft.com/office/officeart/2005/8/layout/process4"/>
    <dgm:cxn modelId="{22148073-E13E-4877-A52C-4510BDBD83DC}" srcId="{5E7CDB80-2875-4C74-9611-A7FF1F7403BD}" destId="{D81A38BD-5D1B-4F31-A636-02EE9CA94B89}" srcOrd="3" destOrd="0" parTransId="{5E1A0B6B-B1E7-4505-A2A7-DFCD26E2E184}" sibTransId="{442A63AE-9A51-4054-B548-5EC9D0DFB447}"/>
    <dgm:cxn modelId="{62C4D948-99B3-4538-BFEE-AC1A9D44730E}" type="presOf" srcId="{5E7CDB80-2875-4C74-9611-A7FF1F7403BD}" destId="{EC1D9D5D-6111-4796-BB60-2AA6F125D0D4}" srcOrd="0" destOrd="0" presId="urn:microsoft.com/office/officeart/2005/8/layout/process4"/>
    <dgm:cxn modelId="{528587AC-11D1-4CB2-AFE0-C290EAFE2ECD}" srcId="{D81A38BD-5D1B-4F31-A636-02EE9CA94B89}" destId="{6C653616-4AD3-4773-9E6D-1085BFBB1F55}" srcOrd="0" destOrd="0" parTransId="{284DD986-F480-4928-B2BC-E58767F0AD33}" sibTransId="{72EC7A91-35A6-46C5-9631-0E4221A0AF2C}"/>
    <dgm:cxn modelId="{1E0A949F-F8B8-44B9-BD9D-68251F335A98}" srcId="{5E7CDB80-2875-4C74-9611-A7FF1F7403BD}" destId="{F10A3411-23E7-4B94-8F6C-762B915720A1}" srcOrd="1" destOrd="0" parTransId="{536A75D7-8641-4769-BF43-E2A7BD883ED1}" sibTransId="{5DAF9D88-A68A-43AB-BBB5-7B130FE9DC45}"/>
    <dgm:cxn modelId="{9BC9E77F-CAE7-4C1E-B8EE-E7EC17843130}" type="presOf" srcId="{936CC18F-57B7-49B4-85BC-A70B6F956E3B}" destId="{904150F2-9D57-432F-ACED-EDEB3C19AF18}" srcOrd="1" destOrd="0" presId="urn:microsoft.com/office/officeart/2005/8/layout/process4"/>
    <dgm:cxn modelId="{B57D9C9E-678D-4240-B5CF-FBAD462C4FFF}" srcId="{5E7CDB80-2875-4C74-9611-A7FF1F7403BD}" destId="{936CC18F-57B7-49B4-85BC-A70B6F956E3B}" srcOrd="2" destOrd="0" parTransId="{8E37A968-D852-4957-AA33-5DF1EBB41A5D}" sibTransId="{0024A5D5-7365-49C7-B7FF-D7FE03FCB6B9}"/>
    <dgm:cxn modelId="{C76D6F6E-0F68-431C-9B54-1795CA47F60A}" type="presParOf" srcId="{EC1D9D5D-6111-4796-BB60-2AA6F125D0D4}" destId="{E31F3211-EDD7-4F3E-8C99-CCF2CDDE726B}" srcOrd="0" destOrd="0" presId="urn:microsoft.com/office/officeart/2005/8/layout/process4"/>
    <dgm:cxn modelId="{F7834BAE-0D29-4873-96A3-72FFAB7B858B}" type="presParOf" srcId="{E31F3211-EDD7-4F3E-8C99-CCF2CDDE726B}" destId="{6C09DBC9-CBCF-4A13-9E5A-82FC7D5BF000}" srcOrd="0" destOrd="0" presId="urn:microsoft.com/office/officeart/2005/8/layout/process4"/>
    <dgm:cxn modelId="{2CF9131E-568C-4FF0-BF30-5291F79FABDC}" type="presParOf" srcId="{E31F3211-EDD7-4F3E-8C99-CCF2CDDE726B}" destId="{CDB9CFB9-E6E2-44D8-AA6A-B4EBDFBF72AD}" srcOrd="1" destOrd="0" presId="urn:microsoft.com/office/officeart/2005/8/layout/process4"/>
    <dgm:cxn modelId="{BD7C7714-4D09-4822-815B-FDCA84BD755B}" type="presParOf" srcId="{E31F3211-EDD7-4F3E-8C99-CCF2CDDE726B}" destId="{22BDFC38-1ACB-4924-98B1-855544930C3B}" srcOrd="2" destOrd="0" presId="urn:microsoft.com/office/officeart/2005/8/layout/process4"/>
    <dgm:cxn modelId="{B834494D-D396-4F15-8115-14E725A0DBEE}" type="presParOf" srcId="{22BDFC38-1ACB-4924-98B1-855544930C3B}" destId="{E9E691C0-EB54-4238-9820-6AD4DCDB7AB8}" srcOrd="0" destOrd="0" presId="urn:microsoft.com/office/officeart/2005/8/layout/process4"/>
    <dgm:cxn modelId="{F9387D17-17B0-46DB-A0AD-5EB0F6DD5E78}" type="presParOf" srcId="{EC1D9D5D-6111-4796-BB60-2AA6F125D0D4}" destId="{9811A249-04CA-499D-B122-F0ABBDA9AB61}" srcOrd="1" destOrd="0" presId="urn:microsoft.com/office/officeart/2005/8/layout/process4"/>
    <dgm:cxn modelId="{FA6CBDFB-D11C-4496-BE0D-810FF5C4514F}" type="presParOf" srcId="{EC1D9D5D-6111-4796-BB60-2AA6F125D0D4}" destId="{263D0DDC-2A23-45E1-9509-F1A4FAEBE72D}" srcOrd="2" destOrd="0" presId="urn:microsoft.com/office/officeart/2005/8/layout/process4"/>
    <dgm:cxn modelId="{BE0E63FA-6BCC-43F5-BD85-DF0D7826ACD2}" type="presParOf" srcId="{263D0DDC-2A23-45E1-9509-F1A4FAEBE72D}" destId="{8338C979-13DD-4FB1-8B5B-0AF44D4F5ADC}" srcOrd="0" destOrd="0" presId="urn:microsoft.com/office/officeart/2005/8/layout/process4"/>
    <dgm:cxn modelId="{2E4AC617-C8C1-43D6-AC17-1D5BE5C1A3FB}" type="presParOf" srcId="{263D0DDC-2A23-45E1-9509-F1A4FAEBE72D}" destId="{BDB63F58-6599-41CA-B63C-CA18EDD034C3}" srcOrd="1" destOrd="0" presId="urn:microsoft.com/office/officeart/2005/8/layout/process4"/>
    <dgm:cxn modelId="{ABFB7AC1-C82C-42BF-AB15-219247BDA5C4}" type="presParOf" srcId="{263D0DDC-2A23-45E1-9509-F1A4FAEBE72D}" destId="{690A9366-0E42-44B5-A980-6ECC7F979BB8}" srcOrd="2" destOrd="0" presId="urn:microsoft.com/office/officeart/2005/8/layout/process4"/>
    <dgm:cxn modelId="{7F760596-2AC4-47C8-803A-02B5C8D71813}" type="presParOf" srcId="{690A9366-0E42-44B5-A980-6ECC7F979BB8}" destId="{2947AEDC-8CCE-47CF-B949-D7363BE780E1}" srcOrd="0" destOrd="0" presId="urn:microsoft.com/office/officeart/2005/8/layout/process4"/>
    <dgm:cxn modelId="{8A49B3B0-F2CC-48AA-A915-EF3F6634D72B}" type="presParOf" srcId="{EC1D9D5D-6111-4796-BB60-2AA6F125D0D4}" destId="{D727A804-E693-445B-BCC9-519026422099}" srcOrd="3" destOrd="0" presId="urn:microsoft.com/office/officeart/2005/8/layout/process4"/>
    <dgm:cxn modelId="{DE92619E-CF14-4C78-B6A7-F5DC42D0A9D3}" type="presParOf" srcId="{EC1D9D5D-6111-4796-BB60-2AA6F125D0D4}" destId="{1E0BAEFC-CF10-4C3A-B190-9DA5EEC659DB}" srcOrd="4" destOrd="0" presId="urn:microsoft.com/office/officeart/2005/8/layout/process4"/>
    <dgm:cxn modelId="{948A1C4C-FA18-4E0A-931D-E6A4DF01E46D}" type="presParOf" srcId="{1E0BAEFC-CF10-4C3A-B190-9DA5EEC659DB}" destId="{06E9A2BA-323A-4543-BF4D-D43DE3496DEE}" srcOrd="0" destOrd="0" presId="urn:microsoft.com/office/officeart/2005/8/layout/process4"/>
    <dgm:cxn modelId="{4568A115-F198-41CB-8F18-8AAA0C58AE60}" type="presParOf" srcId="{1E0BAEFC-CF10-4C3A-B190-9DA5EEC659DB}" destId="{904150F2-9D57-432F-ACED-EDEB3C19AF18}" srcOrd="1" destOrd="0" presId="urn:microsoft.com/office/officeart/2005/8/layout/process4"/>
    <dgm:cxn modelId="{9F6F8859-9AB6-4CCA-A3BC-1505A77B26AF}" type="presParOf" srcId="{1E0BAEFC-CF10-4C3A-B190-9DA5EEC659DB}" destId="{71F2F62A-0B5C-41F2-87A8-ACBE2DC15F2A}" srcOrd="2" destOrd="0" presId="urn:microsoft.com/office/officeart/2005/8/layout/process4"/>
    <dgm:cxn modelId="{E4226B7D-2D60-4FB4-B5F2-950CA2FE20FF}" type="presParOf" srcId="{71F2F62A-0B5C-41F2-87A8-ACBE2DC15F2A}" destId="{AFE919A1-CC7C-4F40-8C71-813286DED56E}" srcOrd="0" destOrd="0" presId="urn:microsoft.com/office/officeart/2005/8/layout/process4"/>
    <dgm:cxn modelId="{1CAFF5E3-C5AD-444F-9A32-1AFDBC3D0005}" type="presParOf" srcId="{EC1D9D5D-6111-4796-BB60-2AA6F125D0D4}" destId="{F687437C-7ECB-4F08-AA29-9ABC33C641CB}" srcOrd="5" destOrd="0" presId="urn:microsoft.com/office/officeart/2005/8/layout/process4"/>
    <dgm:cxn modelId="{1C11AF7B-7576-46E2-9ADB-7F9F46500093}" type="presParOf" srcId="{EC1D9D5D-6111-4796-BB60-2AA6F125D0D4}" destId="{5E9B155E-BA86-4031-87CC-528BEDA9CDB8}" srcOrd="6" destOrd="0" presId="urn:microsoft.com/office/officeart/2005/8/layout/process4"/>
    <dgm:cxn modelId="{6B974CEF-2F07-4AF5-AE73-1DBFE26C144C}" type="presParOf" srcId="{5E9B155E-BA86-4031-87CC-528BEDA9CDB8}" destId="{7500925E-9B9D-4F7F-9BF6-416A5BDB16ED}" srcOrd="0" destOrd="0" presId="urn:microsoft.com/office/officeart/2005/8/layout/process4"/>
    <dgm:cxn modelId="{F5BF2A74-B3B3-4F68-A439-8D62390DD6FC}" type="presParOf" srcId="{5E9B155E-BA86-4031-87CC-528BEDA9CDB8}" destId="{62A1E101-A409-45D1-B931-2DC3CD15BC91}" srcOrd="1" destOrd="0" presId="urn:microsoft.com/office/officeart/2005/8/layout/process4"/>
    <dgm:cxn modelId="{5E42E871-94A2-4314-9164-F24037B2EC45}" type="presParOf" srcId="{5E9B155E-BA86-4031-87CC-528BEDA9CDB8}" destId="{F5155F62-7E28-4065-AA47-BC9F60F8FD51}" srcOrd="2" destOrd="0" presId="urn:microsoft.com/office/officeart/2005/8/layout/process4"/>
    <dgm:cxn modelId="{C2A10A28-8576-4E69-BB2D-636B43F9C201}" type="presParOf" srcId="{F5155F62-7E28-4065-AA47-BC9F60F8FD51}" destId="{05521E0A-6765-4435-9CF5-91A9631317D1}" srcOrd="0" destOrd="0" presId="urn:microsoft.com/office/officeart/2005/8/layout/process4"/>
    <dgm:cxn modelId="{89CFC58F-6C65-4D80-ACA8-E887D1766930}" type="presParOf" srcId="{EC1D9D5D-6111-4796-BB60-2AA6F125D0D4}" destId="{DF59E652-56B1-4AF1-AAFB-C8EFDA67C034}" srcOrd="7" destOrd="0" presId="urn:microsoft.com/office/officeart/2005/8/layout/process4"/>
    <dgm:cxn modelId="{7F9FD583-DEC4-4946-8FAA-8F1FCEA5A3BB}" type="presParOf" srcId="{EC1D9D5D-6111-4796-BB60-2AA6F125D0D4}" destId="{FD69C25A-9416-46C0-AE48-91248C1F8ED2}" srcOrd="8" destOrd="0" presId="urn:microsoft.com/office/officeart/2005/8/layout/process4"/>
    <dgm:cxn modelId="{8F104197-2F5B-453B-BE29-FB1050C47CC0}" type="presParOf" srcId="{FD69C25A-9416-46C0-AE48-91248C1F8ED2}" destId="{89DF6921-0355-4D5A-897C-BA18C3C61EC4}" srcOrd="0" destOrd="0" presId="urn:microsoft.com/office/officeart/2005/8/layout/process4"/>
    <dgm:cxn modelId="{947D5BD5-FD01-40E9-816C-F101D4A6E58C}" type="presParOf" srcId="{FD69C25A-9416-46C0-AE48-91248C1F8ED2}" destId="{A25899FF-7408-458F-85AC-ADE37A851471}" srcOrd="1" destOrd="0" presId="urn:microsoft.com/office/officeart/2005/8/layout/process4"/>
    <dgm:cxn modelId="{60FB2177-1284-4503-8E7A-EEE2A18BF301}" type="presParOf" srcId="{FD69C25A-9416-46C0-AE48-91248C1F8ED2}" destId="{B05F9F97-030B-4399-BA5A-2C902B8CCE77}" srcOrd="2" destOrd="0" presId="urn:microsoft.com/office/officeart/2005/8/layout/process4"/>
    <dgm:cxn modelId="{E4E3826D-61BB-4A50-A886-FFFECBBD4E8A}" type="presParOf" srcId="{B05F9F97-030B-4399-BA5A-2C902B8CCE77}" destId="{AF7B711C-2F9E-4EA4-AB8B-25E72EE7F944}" srcOrd="0" destOrd="0" presId="urn:microsoft.com/office/officeart/2005/8/layout/process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B9CFB9-E6E2-44D8-AA6A-B4EBDFBF72AD}">
      <dsp:nvSpPr>
        <dsp:cNvPr id="0" name=""/>
        <dsp:cNvSpPr/>
      </dsp:nvSpPr>
      <dsp:spPr>
        <a:xfrm>
          <a:off x="0" y="3323288"/>
          <a:ext cx="5672667" cy="704252"/>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pl-PL" sz="1400" kern="1200"/>
            <a:t>Partnerzy (Instytucje Otoczenia Biznesu, Lokalna Grupa Działania, stowarzyszenia i  grupy  społeczne_</a:t>
          </a:r>
        </a:p>
      </dsp:txBody>
      <dsp:txXfrm>
        <a:off x="0" y="3323288"/>
        <a:ext cx="5672667" cy="380296"/>
      </dsp:txXfrm>
    </dsp:sp>
    <dsp:sp modelId="{E9E691C0-EB54-4238-9820-6AD4DCDB7AB8}">
      <dsp:nvSpPr>
        <dsp:cNvPr id="0" name=""/>
        <dsp:cNvSpPr/>
      </dsp:nvSpPr>
      <dsp:spPr>
        <a:xfrm>
          <a:off x="0" y="3686316"/>
          <a:ext cx="5672667" cy="250741"/>
        </a:xfrm>
        <a:prstGeom prst="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19050" rIns="106680" bIns="19050" numCol="1" spcCol="1270" anchor="ctr" anchorCtr="0">
          <a:noAutofit/>
        </a:bodyPr>
        <a:lstStyle/>
        <a:p>
          <a:pPr lvl="0" algn="ctr" defTabSz="666750">
            <a:lnSpc>
              <a:spcPct val="90000"/>
            </a:lnSpc>
            <a:spcBef>
              <a:spcPct val="0"/>
            </a:spcBef>
            <a:spcAft>
              <a:spcPct val="35000"/>
            </a:spcAft>
          </a:pPr>
          <a:r>
            <a:rPr lang="pl-PL" sz="1500" kern="1200"/>
            <a:t>dostarczanie danych, udział w realizacji</a:t>
          </a:r>
        </a:p>
      </dsp:txBody>
      <dsp:txXfrm>
        <a:off x="0" y="3686316"/>
        <a:ext cx="5672667" cy="250741"/>
      </dsp:txXfrm>
    </dsp:sp>
    <dsp:sp modelId="{BDB63F58-6599-41CA-B63C-CA18EDD034C3}">
      <dsp:nvSpPr>
        <dsp:cNvPr id="0" name=""/>
        <dsp:cNvSpPr/>
      </dsp:nvSpPr>
      <dsp:spPr>
        <a:xfrm rot="10800000">
          <a:off x="0" y="2493114"/>
          <a:ext cx="5672667" cy="838350"/>
        </a:xfrm>
        <a:prstGeom prst="upArrowCallout">
          <a:avLst/>
        </a:prstGeom>
        <a:solidFill>
          <a:schemeClr val="accent4">
            <a:hueOff val="-1116192"/>
            <a:satOff val="6725"/>
            <a:lumOff val="53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pl-PL" sz="1600" kern="1200"/>
            <a:t>Pozostałe referaty i jednostki podległe Gminy</a:t>
          </a:r>
        </a:p>
      </dsp:txBody>
      <dsp:txXfrm rot="-10800000">
        <a:off x="0" y="2493114"/>
        <a:ext cx="5672667" cy="294260"/>
      </dsp:txXfrm>
    </dsp:sp>
    <dsp:sp modelId="{2947AEDC-8CCE-47CF-B949-D7363BE780E1}">
      <dsp:nvSpPr>
        <dsp:cNvPr id="0" name=""/>
        <dsp:cNvSpPr/>
      </dsp:nvSpPr>
      <dsp:spPr>
        <a:xfrm>
          <a:off x="0" y="2787375"/>
          <a:ext cx="5672667" cy="250666"/>
        </a:xfrm>
        <a:prstGeom prst="rect">
          <a:avLst/>
        </a:prstGeom>
        <a:solidFill>
          <a:schemeClr val="accent4">
            <a:tint val="40000"/>
            <a:alpha val="90000"/>
            <a:hueOff val="-986427"/>
            <a:satOff val="5539"/>
            <a:lumOff val="352"/>
            <a:alphaOff val="0"/>
          </a:schemeClr>
        </a:solidFill>
        <a:ln w="25400" cap="flat" cmpd="sng" algn="ctr">
          <a:solidFill>
            <a:schemeClr val="accent4">
              <a:tint val="40000"/>
              <a:alpha val="90000"/>
              <a:hueOff val="-986427"/>
              <a:satOff val="5539"/>
              <a:lumOff val="35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19050" rIns="106680" bIns="19050" numCol="1" spcCol="1270" anchor="ctr" anchorCtr="0">
          <a:noAutofit/>
        </a:bodyPr>
        <a:lstStyle/>
        <a:p>
          <a:pPr lvl="0" algn="ctr" defTabSz="666750">
            <a:lnSpc>
              <a:spcPct val="90000"/>
            </a:lnSpc>
            <a:spcBef>
              <a:spcPct val="0"/>
            </a:spcBef>
            <a:spcAft>
              <a:spcPct val="35000"/>
            </a:spcAft>
          </a:pPr>
          <a:r>
            <a:rPr lang="pl-PL" sz="1500" kern="1200"/>
            <a:t>dostarczanie danych i udział w realizacji</a:t>
          </a:r>
        </a:p>
      </dsp:txBody>
      <dsp:txXfrm>
        <a:off x="0" y="2787375"/>
        <a:ext cx="5672667" cy="250666"/>
      </dsp:txXfrm>
    </dsp:sp>
    <dsp:sp modelId="{904150F2-9D57-432F-ACED-EDEB3C19AF18}">
      <dsp:nvSpPr>
        <dsp:cNvPr id="0" name=""/>
        <dsp:cNvSpPr/>
      </dsp:nvSpPr>
      <dsp:spPr>
        <a:xfrm rot="10800000">
          <a:off x="0" y="1669403"/>
          <a:ext cx="5672667" cy="838350"/>
        </a:xfrm>
        <a:prstGeom prst="upArrowCallout">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pl-PL" sz="2000" kern="1200"/>
            <a:t>Referat  Gospodarki Gruntami i Inwestycji</a:t>
          </a:r>
        </a:p>
      </dsp:txBody>
      <dsp:txXfrm rot="-10800000">
        <a:off x="0" y="1669403"/>
        <a:ext cx="5672667" cy="294260"/>
      </dsp:txXfrm>
    </dsp:sp>
    <dsp:sp modelId="{AFE919A1-CC7C-4F40-8C71-813286DED56E}">
      <dsp:nvSpPr>
        <dsp:cNvPr id="0" name=""/>
        <dsp:cNvSpPr/>
      </dsp:nvSpPr>
      <dsp:spPr>
        <a:xfrm>
          <a:off x="0" y="1957201"/>
          <a:ext cx="5672667" cy="250666"/>
        </a:xfrm>
        <a:prstGeom prst="rect">
          <a:avLst/>
        </a:prstGeom>
        <a:solidFill>
          <a:schemeClr val="accent4">
            <a:tint val="40000"/>
            <a:alpha val="90000"/>
            <a:hueOff val="-1972855"/>
            <a:satOff val="11079"/>
            <a:lumOff val="704"/>
            <a:alphaOff val="0"/>
          </a:schemeClr>
        </a:solidFill>
        <a:ln w="25400" cap="flat" cmpd="sng" algn="ctr">
          <a:solidFill>
            <a:schemeClr val="accent4">
              <a:tint val="40000"/>
              <a:alpha val="90000"/>
              <a:hueOff val="-1972855"/>
              <a:satOff val="11079"/>
              <a:lumOff val="70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19050" rIns="106680" bIns="19050" numCol="1" spcCol="1270" anchor="ctr" anchorCtr="0">
          <a:noAutofit/>
        </a:bodyPr>
        <a:lstStyle/>
        <a:p>
          <a:pPr lvl="0" algn="ctr" defTabSz="666750">
            <a:lnSpc>
              <a:spcPct val="90000"/>
            </a:lnSpc>
            <a:spcBef>
              <a:spcPct val="0"/>
            </a:spcBef>
            <a:spcAft>
              <a:spcPct val="35000"/>
            </a:spcAft>
          </a:pPr>
          <a:r>
            <a:rPr lang="pl-PL" sz="1500" kern="1200"/>
            <a:t>koordynowanie działań i projektów, udział w realizacji projektów</a:t>
          </a:r>
        </a:p>
      </dsp:txBody>
      <dsp:txXfrm>
        <a:off x="0" y="1957201"/>
        <a:ext cx="5672667" cy="250666"/>
      </dsp:txXfrm>
    </dsp:sp>
    <dsp:sp modelId="{62A1E101-A409-45D1-B931-2DC3CD15BC91}">
      <dsp:nvSpPr>
        <dsp:cNvPr id="0" name=""/>
        <dsp:cNvSpPr/>
      </dsp:nvSpPr>
      <dsp:spPr>
        <a:xfrm rot="10800000">
          <a:off x="0" y="832766"/>
          <a:ext cx="5672667" cy="838350"/>
        </a:xfrm>
        <a:prstGeom prst="upArrowCallout">
          <a:avLst/>
        </a:prstGeom>
        <a:solidFill>
          <a:schemeClr val="accent4">
            <a:hueOff val="-3348577"/>
            <a:satOff val="20174"/>
            <a:lumOff val="161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pl-PL" sz="2400" kern="1200"/>
            <a:t>Rada Gminy</a:t>
          </a:r>
        </a:p>
      </dsp:txBody>
      <dsp:txXfrm rot="-10800000">
        <a:off x="0" y="832766"/>
        <a:ext cx="5672667" cy="294260"/>
      </dsp:txXfrm>
    </dsp:sp>
    <dsp:sp modelId="{05521E0A-6765-4435-9CF5-91A9631317D1}">
      <dsp:nvSpPr>
        <dsp:cNvPr id="0" name=""/>
        <dsp:cNvSpPr/>
      </dsp:nvSpPr>
      <dsp:spPr>
        <a:xfrm>
          <a:off x="0" y="1127027"/>
          <a:ext cx="5672667" cy="250666"/>
        </a:xfrm>
        <a:prstGeom prst="rect">
          <a:avLst/>
        </a:prstGeom>
        <a:solidFill>
          <a:schemeClr val="accent4">
            <a:tint val="40000"/>
            <a:alpha val="90000"/>
            <a:hueOff val="-2959282"/>
            <a:satOff val="16618"/>
            <a:lumOff val="1056"/>
            <a:alphaOff val="0"/>
          </a:schemeClr>
        </a:solidFill>
        <a:ln w="25400" cap="flat" cmpd="sng" algn="ctr">
          <a:solidFill>
            <a:schemeClr val="accent4">
              <a:tint val="40000"/>
              <a:alpha val="90000"/>
              <a:hueOff val="-2959282"/>
              <a:satOff val="16618"/>
              <a:lumOff val="105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19050" rIns="106680" bIns="19050" numCol="1" spcCol="1270" anchor="ctr" anchorCtr="0">
          <a:noAutofit/>
        </a:bodyPr>
        <a:lstStyle/>
        <a:p>
          <a:pPr lvl="0" algn="ctr" defTabSz="666750">
            <a:lnSpc>
              <a:spcPct val="90000"/>
            </a:lnSpc>
            <a:spcBef>
              <a:spcPct val="0"/>
            </a:spcBef>
            <a:spcAft>
              <a:spcPct val="35000"/>
            </a:spcAft>
          </a:pPr>
          <a:r>
            <a:rPr lang="pl-PL" sz="1500" kern="1200"/>
            <a:t>podejmowanie decyzji strategicznych</a:t>
          </a:r>
        </a:p>
      </dsp:txBody>
      <dsp:txXfrm>
        <a:off x="0" y="1127027"/>
        <a:ext cx="5672667" cy="250666"/>
      </dsp:txXfrm>
    </dsp:sp>
    <dsp:sp modelId="{A25899FF-7408-458F-85AC-ADE37A851471}">
      <dsp:nvSpPr>
        <dsp:cNvPr id="0" name=""/>
        <dsp:cNvSpPr/>
      </dsp:nvSpPr>
      <dsp:spPr>
        <a:xfrm rot="10800000">
          <a:off x="0" y="2592"/>
          <a:ext cx="5672667" cy="838350"/>
        </a:xfrm>
        <a:prstGeom prst="upArrowCallout">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pl-PL" sz="2400" kern="1200"/>
            <a:t>Wójt Gminy</a:t>
          </a:r>
        </a:p>
      </dsp:txBody>
      <dsp:txXfrm rot="-10800000">
        <a:off x="0" y="2592"/>
        <a:ext cx="5672667" cy="294260"/>
      </dsp:txXfrm>
    </dsp:sp>
    <dsp:sp modelId="{AF7B711C-2F9E-4EA4-AB8B-25E72EE7F944}">
      <dsp:nvSpPr>
        <dsp:cNvPr id="0" name=""/>
        <dsp:cNvSpPr/>
      </dsp:nvSpPr>
      <dsp:spPr>
        <a:xfrm>
          <a:off x="0" y="296853"/>
          <a:ext cx="5672667" cy="250666"/>
        </a:xfrm>
        <a:prstGeom prst="rect">
          <a:avLst/>
        </a:prstGeom>
        <a:solidFill>
          <a:schemeClr val="accent4">
            <a:tint val="40000"/>
            <a:alpha val="90000"/>
            <a:hueOff val="-3945710"/>
            <a:satOff val="22157"/>
            <a:lumOff val="1408"/>
            <a:alphaOff val="0"/>
          </a:schemeClr>
        </a:solidFill>
        <a:ln w="25400" cap="flat" cmpd="sng" algn="ctr">
          <a:solidFill>
            <a:schemeClr val="accent4">
              <a:tint val="40000"/>
              <a:alpha val="90000"/>
              <a:hueOff val="-3945710"/>
              <a:satOff val="22157"/>
              <a:lumOff val="140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6680" tIns="19050" rIns="106680" bIns="19050" numCol="1" spcCol="1270" anchor="ctr" anchorCtr="0">
          <a:noAutofit/>
        </a:bodyPr>
        <a:lstStyle/>
        <a:p>
          <a:pPr lvl="0" algn="ctr" defTabSz="666750">
            <a:lnSpc>
              <a:spcPct val="90000"/>
            </a:lnSpc>
            <a:spcBef>
              <a:spcPct val="0"/>
            </a:spcBef>
            <a:spcAft>
              <a:spcPct val="35000"/>
            </a:spcAft>
          </a:pPr>
          <a:r>
            <a:rPr lang="pl-PL" sz="1500" kern="1200"/>
            <a:t>inicjatywa i koordynacja działań</a:t>
          </a:r>
        </a:p>
      </dsp:txBody>
      <dsp:txXfrm>
        <a:off x="0" y="296853"/>
        <a:ext cx="5672667" cy="250666"/>
      </dsp:txXfrm>
    </dsp:sp>
  </dsp:spTree>
</dsp:drawing>
</file>

<file path=word/diagrams/layout2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0117E5-7D4B-49EB-8967-B05F6AE82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923</TotalTime>
  <Application>LibreOffice/7.1.2.2$Windows_X86_64 LibreOffice_project/8a45595d069ef5570103caea1b71cc9d82b2aae4</Application>
  <AppVersion>15.0000</AppVersion>
  <Pages>58</Pages>
  <Words>13394</Words>
  <Characters>91309</Characters>
  <CharactersWithSpaces>103821</CharactersWithSpaces>
  <Paragraphs>1322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2021-10-02T15:06:00Z</dcterms:created>
  <dc:creator>Beata94</dc:creator>
  <dc:description/>
  <dc:language>pl-PL</dc:language>
  <cp:lastModifiedBy/>
  <dcterms:modified xsi:type="dcterms:W3CDTF">2021-10-18T11:19:10Z</dcterms:modified>
  <cp:revision>7</cp:revision>
  <dc:subject/>
  <dc:title/>
</cp:coreProperties>
</file>

<file path=docProps/custom.xml><?xml version="1.0" encoding="utf-8"?>
<Properties xmlns="http://schemas.openxmlformats.org/officeDocument/2006/custom-properties" xmlns:vt="http://schemas.openxmlformats.org/officeDocument/2006/docPropsVTypes"/>
</file>